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aps/>
        </w:rPr>
      </w:pPr>
      <w:r>
        <w:rPr>
          <w:rFonts w:ascii="Times New Roman" w:hAnsi="Times New Roman"/>
          <w:b/>
          <w:bCs/>
          <w:caps/>
          <w:sz w:val="18"/>
          <w:szCs w:val="18"/>
        </w:rPr>
        <w:t>Desmembramento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</w:r>
    </w:p>
    <w:tbl>
      <w:tblPr>
        <w:tblW w:w="10772" w:type="dxa"/>
        <w:jc w:val="left"/>
        <w:tblInd w:w="53" w:type="dxa"/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0"/>
        <w:gridCol w:w="556"/>
        <w:gridCol w:w="5649"/>
        <w:gridCol w:w="1918"/>
        <w:gridCol w:w="2389"/>
      </w:tblGrid>
      <w:tr>
        <w:trPr/>
        <w:tc>
          <w:tcPr>
            <w:tcW w:w="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5"/>
                <w:szCs w:val="15"/>
              </w:rPr>
              <w:t>Imóvel</w:t>
            </w:r>
          </w:p>
        </w:tc>
        <w:tc>
          <w:tcPr>
            <w:tcW w:w="5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Título 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Spacing"/>
              <w:ind w:left="-57" w:right="-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Fundamentação legal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Disponível em: </w:t>
            </w:r>
          </w:p>
        </w:tc>
      </w:tr>
      <w:tr>
        <w:trPr/>
        <w:tc>
          <w:tcPr>
            <w:tcW w:w="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Requerimento, assinado pelo proprietário, com firma reconhecida, ou presencial com identidade.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 xml:space="preserve">Art.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928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Prov.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93</w:t>
            </w:r>
            <w:r>
              <w:rPr>
                <w:rFonts w:ascii="Times New Roman" w:hAnsi="Times New Roman"/>
                <w:sz w:val="15"/>
                <w:szCs w:val="15"/>
              </w:rPr>
              <w:t>/20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20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 xml:space="preserve">Modelo disponível na Serventia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ou  site: </w:t>
            </w:r>
            <w:hyperlink r:id="rId2">
              <w:r>
                <w:rPr>
                  <w:rStyle w:val="LinkdaInternet"/>
                  <w:rFonts w:ascii="Times New Roman" w:hAnsi="Times New Roman"/>
                  <w:sz w:val="15"/>
                  <w:szCs w:val="15"/>
                </w:rPr>
                <w:t>www.cartoriorisamonte.com.br</w:t>
              </w:r>
            </w:hyperlink>
          </w:p>
        </w:tc>
      </w:tr>
      <w:tr>
        <w:trPr/>
        <w:tc>
          <w:tcPr>
            <w:tcW w:w="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Planta e Memorial descritivo assinados pelo profissional legalmente habilitado bem como pelo proprietário - com firma reconhecida.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 xml:space="preserve">Art.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988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Prov.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93</w:t>
            </w:r>
            <w:r>
              <w:rPr>
                <w:rFonts w:ascii="Times New Roman" w:hAnsi="Times New Roman"/>
                <w:sz w:val="15"/>
                <w:szCs w:val="15"/>
              </w:rPr>
              <w:t>/20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20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15"/>
                <w:szCs w:val="15"/>
              </w:rPr>
              <w:t xml:space="preserve">Responsável técnico </w:t>
            </w:r>
          </w:p>
        </w:tc>
      </w:tr>
      <w:tr>
        <w:trPr/>
        <w:tc>
          <w:tcPr>
            <w:tcW w:w="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Prova de ART; RRT ou TRT na autarquia profissional competente.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 xml:space="preserve">Art.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988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Prov.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93</w:t>
            </w:r>
            <w:r>
              <w:rPr>
                <w:rFonts w:ascii="Times New Roman" w:hAnsi="Times New Roman"/>
                <w:sz w:val="15"/>
                <w:szCs w:val="15"/>
              </w:rPr>
              <w:t>/20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20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15"/>
                <w:szCs w:val="15"/>
              </w:rPr>
              <w:t xml:space="preserve">Responsável técnico </w:t>
            </w:r>
          </w:p>
        </w:tc>
      </w:tr>
      <w:tr>
        <w:trPr/>
        <w:tc>
          <w:tcPr>
            <w:tcW w:w="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Mídia Digital - CD com o Memorial Descritivo 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15"/>
                <w:szCs w:val="15"/>
              </w:rPr>
              <w:t xml:space="preserve">Responsável técnico </w:t>
            </w:r>
          </w:p>
        </w:tc>
      </w:tr>
      <w:tr>
        <w:trPr/>
        <w:tc>
          <w:tcPr>
            <w:tcW w:w="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Certidão de Avaliação Imobiliária de cada imóvel resultante do desmembramento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>Art. 1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35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Prov.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93</w:t>
            </w:r>
            <w:r>
              <w:rPr>
                <w:rFonts w:ascii="Times New Roman" w:hAnsi="Times New Roman"/>
                <w:sz w:val="15"/>
                <w:szCs w:val="15"/>
              </w:rPr>
              <w:t>/20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20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>Prefeitura Municipal</w:t>
            </w:r>
          </w:p>
          <w:p>
            <w:pPr>
              <w:pStyle w:val="Normal"/>
              <w:ind w:firstLine="720"/>
              <w:rPr/>
            </w:pPr>
            <w:r>
              <w:rPr/>
            </w:r>
          </w:p>
        </w:tc>
      </w:tr>
      <w:tr>
        <w:trPr/>
        <w:tc>
          <w:tcPr>
            <w:tcW w:w="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ind w:right="-57" w:hanging="0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>Urbano</w:t>
            </w:r>
          </w:p>
        </w:tc>
        <w:tc>
          <w:tcPr>
            <w:tcW w:w="5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Certidão de Aprovação pelo Município – com os</w:t>
            </w:r>
            <w:bookmarkStart w:id="0" w:name="__DdeLink__14376_1059574724"/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quesitos </w:t>
            </w:r>
            <w:bookmarkEnd w:id="0"/>
            <w:r>
              <w:rPr>
                <w:rFonts w:ascii="Times New Roman" w:hAnsi="Times New Roman"/>
                <w:color w:val="00000A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rt.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20"/>
                <w:szCs w:val="20"/>
                <w:lang w:val="pt-BR" w:eastAsia="zh-CN" w:bidi="hi-IN"/>
              </w:rPr>
              <w:t>990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bookmarkStart w:id="1" w:name="__DdeLink__1015_718584942"/>
            <w:r>
              <w:rPr>
                <w:rFonts w:ascii="Times New Roman" w:hAnsi="Times New Roman"/>
                <w:sz w:val="15"/>
                <w:szCs w:val="15"/>
              </w:rPr>
              <w:t xml:space="preserve">Art.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990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Prov.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93</w:t>
            </w:r>
            <w:r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2020</w:t>
            </w:r>
            <w:bookmarkEnd w:id="1"/>
          </w:p>
          <w:p>
            <w:pPr>
              <w:pStyle w:val="Contedodatabela"/>
              <w:rPr/>
            </w:pP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Art. 993, I,  – Prov. 93/2020</w:t>
            </w:r>
          </w:p>
          <w:p>
            <w:pPr>
              <w:pStyle w:val="Contedodatabela"/>
              <w:rPr/>
            </w:pP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Art. 1.037 – Prov. 93/2020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>Prefeitura Municipal</w:t>
            </w:r>
          </w:p>
        </w:tc>
      </w:tr>
      <w:tr>
        <w:trPr/>
        <w:tc>
          <w:tcPr>
            <w:tcW w:w="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ind w:right="-57" w:hanging="0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>Urbano</w:t>
            </w:r>
          </w:p>
        </w:tc>
        <w:tc>
          <w:tcPr>
            <w:tcW w:w="5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Número de inscrição imobiliária de cada imóvel resultante do desmembramento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 xml:space="preserve">Art.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715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, IV – Prov.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93/2020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>Prefeitura Municipal - IPTU</w:t>
            </w:r>
          </w:p>
        </w:tc>
      </w:tr>
      <w:tr>
        <w:trPr/>
        <w:tc>
          <w:tcPr>
            <w:tcW w:w="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>Rural</w:t>
            </w:r>
          </w:p>
        </w:tc>
        <w:tc>
          <w:tcPr>
            <w:tcW w:w="5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Certidão Negativa do ITR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 xml:space="preserve">Art.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994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Prov. 93/2020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hyperlink r:id="rId3">
              <w:r>
                <w:rPr>
                  <w:rStyle w:val="LinkdaInternet"/>
                  <w:rFonts w:ascii="Times New Roman" w:hAnsi="Times New Roman"/>
                  <w:sz w:val="15"/>
                  <w:szCs w:val="15"/>
                </w:rPr>
                <w:t>www.receita.fazenda.gov.br</w:t>
              </w:r>
            </w:hyperlink>
          </w:p>
        </w:tc>
      </w:tr>
      <w:tr>
        <w:trPr/>
        <w:tc>
          <w:tcPr>
            <w:tcW w:w="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>Rural</w:t>
            </w:r>
          </w:p>
        </w:tc>
        <w:tc>
          <w:tcPr>
            <w:tcW w:w="5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Certificado de Cadastro de Imóvel Rural – CCIR 2019 quitado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 xml:space="preserve">Art.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994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Prov. 93/2020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hyperlink r:id="rId4">
              <w:r>
                <w:rPr>
                  <w:rStyle w:val="LinkdaInternet"/>
                  <w:rFonts w:ascii="Times New Roman" w:hAnsi="Times New Roman"/>
                  <w:sz w:val="15"/>
                  <w:szCs w:val="15"/>
                </w:rPr>
                <w:t>www.incra.gov.br/ccir-ccir</w:t>
              </w:r>
            </w:hyperlink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</w:tr>
      <w:tr>
        <w:trPr/>
        <w:tc>
          <w:tcPr>
            <w:tcW w:w="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>Rural</w:t>
            </w:r>
          </w:p>
        </w:tc>
        <w:tc>
          <w:tcPr>
            <w:tcW w:w="5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Recibo de Inscrição do Imóvel Rural no Cadastro Ambiental Rural - CAR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Arts. 167, II, 22 e 246 da Lei 6015/73 -   Lei </w:t>
            </w:r>
            <w:r>
              <w:rPr>
                <w:rFonts w:ascii="Times New Roman" w:hAnsi="Times New Roman"/>
                <w:color w:val="0A0A0A"/>
                <w:sz w:val="15"/>
                <w:szCs w:val="15"/>
              </w:rPr>
              <w:t>4.771/65 - (REsp 831.212/MG, DJe 22/09/2009).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15"/>
                <w:szCs w:val="15"/>
              </w:rPr>
              <w:t xml:space="preserve">Responsável técnico </w:t>
            </w:r>
          </w:p>
        </w:tc>
      </w:tr>
      <w:tr>
        <w:trPr/>
        <w:tc>
          <w:tcPr>
            <w:tcW w:w="260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Ônus</w:t>
            </w:r>
          </w:p>
        </w:tc>
        <w:tc>
          <w:tcPr>
            <w:tcW w:w="5649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>
                <w:rFonts w:ascii="Times New Roman" w:hAnsi="Times New Roman" w:eastAsia="SimSun" w:cs="Arial"/>
                <w:color w:val="00000A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SimSun" w:cs="Arial" w:ascii="Times New Roman" w:hAnsi="Times New Roman"/>
                <w:color w:val="00000A"/>
                <w:kern w:val="0"/>
                <w:sz w:val="20"/>
                <w:szCs w:val="20"/>
                <w:lang w:val="pt-BR" w:eastAsia="zh-CN" w:bidi="hi-IN"/>
              </w:rPr>
              <w:t>Anuência expressa do titular do direito real em caso de ônus ou restrição, ciente que o ônus ser transportado para as novas matrículas.</w:t>
            </w:r>
          </w:p>
        </w:tc>
        <w:tc>
          <w:tcPr>
            <w:tcW w:w="1918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ascii="Times New Roman" w:hAnsi="Times New Roman"/>
                <w:sz w:val="15"/>
                <w:szCs w:val="15"/>
              </w:rPr>
              <w:t xml:space="preserve">Art.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989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Prov. 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93</w:t>
            </w:r>
            <w:r>
              <w:rPr>
                <w:rFonts w:ascii="Times New Roman" w:hAnsi="Times New Roman"/>
                <w:sz w:val="15"/>
                <w:szCs w:val="15"/>
              </w:rPr>
              <w:t>/20</w:t>
            </w:r>
            <w:r>
              <w:rPr>
                <w:rFonts w:eastAsia="SimSun" w:cs="Arial" w:ascii="Times New Roman" w:hAnsi="Times New Roman"/>
                <w:color w:val="00000A"/>
                <w:kern w:val="0"/>
                <w:sz w:val="15"/>
                <w:szCs w:val="15"/>
                <w:lang w:val="pt-BR" w:eastAsia="zh-CN" w:bidi="hi-IN"/>
              </w:rPr>
              <w:t>20</w:t>
            </w:r>
          </w:p>
        </w:tc>
        <w:tc>
          <w:tcPr>
            <w:tcW w:w="23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15"/>
                <w:szCs w:val="15"/>
                <w:lang w:val="pt-BR" w:eastAsia="en-US" w:bidi="ar-SA"/>
              </w:rPr>
              <w:t>T</w:t>
            </w:r>
            <w:r>
              <w:rPr>
                <w:rFonts w:cs="Times New Roman" w:ascii="Times New Roman" w:hAnsi="Times New Roman"/>
                <w:sz w:val="15"/>
                <w:szCs w:val="15"/>
              </w:rPr>
              <w:t xml:space="preserve">itular do 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15"/>
                <w:szCs w:val="15"/>
                <w:lang w:val="pt-BR" w:eastAsia="en-US" w:bidi="ar-SA"/>
              </w:rPr>
              <w:t>D</w:t>
            </w:r>
            <w:r>
              <w:rPr>
                <w:rFonts w:cs="Times New Roman" w:ascii="Times New Roman" w:hAnsi="Times New Roman"/>
                <w:sz w:val="15"/>
                <w:szCs w:val="15"/>
              </w:rPr>
              <w:t xml:space="preserve">ireito 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15"/>
                <w:szCs w:val="15"/>
                <w:lang w:val="pt-BR" w:eastAsia="en-US" w:bidi="ar-SA"/>
              </w:rPr>
              <w:t>R</w:t>
            </w:r>
            <w:r>
              <w:rPr>
                <w:rFonts w:cs="Times New Roman" w:ascii="Times New Roman" w:hAnsi="Times New Roman"/>
                <w:sz w:val="15"/>
                <w:szCs w:val="15"/>
              </w:rPr>
              <w:t>eal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Obs: </w:t>
        <w:tab/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Para fins de registro ou averbação, não constando da matrícula ou transcrição a qualificação completa, atual e correta das partes e do imóvel, o oficial de registro exigirá a prévia inserção, atualização ou retificação de dados, fazendo as averbações correspondentes. Art. 868 Provimento 93/CGJ/2020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 áreas resultantes do desmembramento deverão ser equivalentes ou superiores à fração mínima de parcelamento - FMP.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área ou descrição do imóvel a ser parcelado deverá corresponder à área ou descrição constante da matrícula. Art. </w:t>
      </w:r>
      <w:r>
        <w:rPr>
          <w:rFonts w:eastAsia="SimSun" w:cs="Arial" w:ascii="Times New Roman" w:hAnsi="Times New Roman"/>
          <w:color w:val="00000A"/>
          <w:kern w:val="0"/>
          <w:sz w:val="20"/>
          <w:szCs w:val="20"/>
          <w:lang w:val="pt-BR" w:eastAsia="zh-CN" w:bidi="hi-IN"/>
        </w:rPr>
        <w:t>981</w:t>
      </w:r>
      <w:r>
        <w:rPr>
          <w:rFonts w:ascii="Times New Roman" w:hAnsi="Times New Roman"/>
          <w:sz w:val="20"/>
          <w:szCs w:val="20"/>
        </w:rPr>
        <w:t xml:space="preserve"> - CN.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parcelamento de imóvel onerado será requerido também pelo titular do direito real com anuência expressa do proprietário, devendo o ônus ser transportado para as novas matrículas. Art. </w:t>
      </w:r>
      <w:r>
        <w:rPr>
          <w:rFonts w:eastAsia="SimSun" w:cs="Arial" w:ascii="Times New Roman" w:hAnsi="Times New Roman"/>
          <w:color w:val="00000A"/>
          <w:kern w:val="0"/>
          <w:sz w:val="20"/>
          <w:szCs w:val="20"/>
          <w:lang w:val="pt-BR" w:eastAsia="zh-CN" w:bidi="hi-IN"/>
        </w:rPr>
        <w:t>989</w:t>
      </w:r>
      <w:r>
        <w:rPr>
          <w:rFonts w:ascii="Times New Roman" w:hAnsi="Times New Roman"/>
          <w:sz w:val="20"/>
          <w:szCs w:val="20"/>
        </w:rPr>
        <w:t xml:space="preserve"> – CN.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desmembramento de imóvel rural não implicará alteração da reserva legal já averbada, seja da sua área, localização ou descrição, conforme já aprovadas pela entidade ou órgão ambiental competente. Art. </w:t>
      </w:r>
      <w:r>
        <w:rPr>
          <w:rFonts w:eastAsia="SimSun" w:cs="Arial" w:ascii="Times New Roman" w:hAnsi="Times New Roman"/>
          <w:color w:val="00000A"/>
          <w:kern w:val="0"/>
          <w:sz w:val="20"/>
          <w:szCs w:val="20"/>
          <w:lang w:val="pt-BR" w:eastAsia="zh-CN" w:bidi="hi-IN"/>
        </w:rPr>
        <w:t>995</w:t>
      </w:r>
      <w:r>
        <w:rPr>
          <w:rFonts w:ascii="Times New Roman" w:hAnsi="Times New Roman"/>
          <w:sz w:val="20"/>
          <w:szCs w:val="20"/>
        </w:rPr>
        <w:t xml:space="preserve"> – CN.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casos de desmembramentos voluntários, para a perfeita caracterização do imóvel deverão ser descritas no título todas as circunstâncias do art. 176, § 1º, II, item 3, e do art. 225 da Lei nº 6.015, de 1973, tanto do imóvel desmembrado quanto do remanescente. Art. 9</w:t>
      </w:r>
      <w:r>
        <w:rPr>
          <w:rFonts w:eastAsia="SimSun" w:cs="Arial" w:ascii="Times New Roman" w:hAnsi="Times New Roman"/>
          <w:color w:val="00000A"/>
          <w:kern w:val="0"/>
          <w:sz w:val="20"/>
          <w:szCs w:val="20"/>
          <w:lang w:val="pt-BR" w:eastAsia="zh-CN" w:bidi="hi-IN"/>
        </w:rPr>
        <w:t>92</w:t>
      </w:r>
      <w:r>
        <w:rPr>
          <w:rFonts w:ascii="Times New Roman" w:hAnsi="Times New Roman"/>
          <w:sz w:val="20"/>
          <w:szCs w:val="20"/>
        </w:rPr>
        <w:t xml:space="preserve"> – CN.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descrição do imóvel não poderá incluir construção que não conste do registro anterior ou que nele não tenha sido regularmente averbada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567" w:right="567" w:header="0" w:top="283" w:footer="0" w:bottom="28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etexto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cstheme="minorBidi"/>
      <w:color w:val="00000A"/>
      <w:kern w:val="0"/>
      <w:sz w:val="22"/>
      <w:szCs w:val="22"/>
      <w:lang w:val="pt-BR" w:eastAsia="en-US" w:bidi="ar-SA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artoriorisamonte.com.br/" TargetMode="External"/><Relationship Id="rId3" Type="http://schemas.openxmlformats.org/officeDocument/2006/relationships/hyperlink" Target="http://www.receita.fazenda.gov.br/aplicacoes/atspo/certidao/certinter/niitr.asp" TargetMode="External"/><Relationship Id="rId4" Type="http://schemas.openxmlformats.org/officeDocument/2006/relationships/hyperlink" Target="http://www.incra.gov.br/ccir-cci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LibreOffice/6.3.6.2$Windows_X86_64 LibreOffice_project/2196df99b074d8a661f4036fca8fa0cbfa33a497</Application>
  <Pages>1</Pages>
  <Words>452</Words>
  <Characters>2536</Characters>
  <CharactersWithSpaces>2960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2019-12-06T17:07:00Z</dcterms:created>
  <dc:creator>Usuario</dc:creator>
  <dc:description/>
  <dc:language>pt-BR</dc:language>
  <cp:lastModifiedBy/>
  <cp:lastPrinted>2020-02-18T13:44:00Z</cp:lastPrinted>
  <dcterms:modified xsi:type="dcterms:W3CDTF">2020-06-29T13:28:36Z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