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Calibri" w:hAnsi="Calibri" w:cs="Calibri" w:asciiTheme="minorHAnsi" w:cstheme="minorHAnsi" w:hAnsiTheme="minorHAnsi"/>
          <w:b/>
          <w:b/>
          <w:caps/>
          <w:sz w:val="28"/>
          <w:szCs w:val="28"/>
          <w:u w:val="single"/>
        </w:rPr>
      </w:pPr>
      <w:r>
        <mc:AlternateContent>
          <mc:Choice Requires="wps">
            <w:drawing>
              <wp:anchor behindDoc="1" distT="0" distB="0" distL="0" distR="0" simplePos="0" locked="0" layoutInCell="1" allowOverlap="1" relativeHeight="2" wp14:anchorId="3107A91D">
                <wp:simplePos x="0" y="0"/>
                <wp:positionH relativeFrom="column">
                  <wp:posOffset>790575</wp:posOffset>
                </wp:positionH>
                <wp:positionV relativeFrom="paragraph">
                  <wp:posOffset>-274955</wp:posOffset>
                </wp:positionV>
                <wp:extent cx="1382395" cy="817245"/>
                <wp:effectExtent l="0" t="0" r="0" b="3810"/>
                <wp:wrapNone/>
                <wp:docPr id="1" name="Imagem 1"/>
                <a:graphic xmlns:a="http://schemas.openxmlformats.org/drawingml/2006/main">
                  <a:graphicData uri="http://schemas.openxmlformats.org/drawingml/2006/picture">
                    <pic:pic xmlns:pic="http://schemas.openxmlformats.org/drawingml/2006/picture">
                      <pic:nvPicPr>
                        <pic:cNvPr id="0" name="Imagem 1" descr=""/>
                        <pic:cNvPicPr/>
                      </pic:nvPicPr>
                      <pic:blipFill>
                        <a:blip r:embed="rId2"/>
                        <a:stretch/>
                      </pic:blipFill>
                      <pic:spPr>
                        <a:xfrm>
                          <a:off x="0" y="0"/>
                          <a:ext cx="1381680" cy="816480"/>
                        </a:xfrm>
                        <a:prstGeom prst="rect">
                          <a:avLst/>
                        </a:prstGeom>
                        <a:ln>
                          <a:noFill/>
                        </a:ln>
                        <a:effectLst>
                          <a:softEdge rad="112500"/>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m 1" stroked="f" style="position:absolute;margin-left:62.25pt;margin-top:-21.65pt;width:108.75pt;height:64.25pt" wp14:anchorId="3107A91D" type="shapetype_75">
                <v:imagedata r:id="rId2" o:detectmouseclick="t"/>
                <w10:wrap type="none"/>
                <v:stroke color="#3465a4" joinstyle="round" endcap="flat"/>
              </v:shape>
            </w:pict>
          </mc:Fallback>
        </mc:AlternateContent>
      </w:r>
      <w:r>
        <w:rPr>
          <w:rFonts w:cs="Calibri" w:cstheme="minorHAnsi"/>
          <w:b/>
          <w:caps/>
          <w:sz w:val="28"/>
          <w:szCs w:val="28"/>
          <w:u w:val="single"/>
        </w:rPr>
        <w:t xml:space="preserve">Relação de documentos para registro de </w:t>
      </w:r>
      <w:bookmarkStart w:id="0" w:name="_Hlk524972334"/>
      <w:r>
        <w:rPr>
          <w:rFonts w:cs="Calibri" w:cstheme="minorHAnsi"/>
          <w:b/>
          <w:caps/>
          <w:sz w:val="28"/>
          <w:szCs w:val="28"/>
          <w:u w:val="single"/>
        </w:rPr>
        <w:t xml:space="preserve">Condomínio de Lotes </w:t>
      </w:r>
      <w:bookmarkStart w:id="1" w:name="_GoBack"/>
      <w:bookmarkEnd w:id="1"/>
    </w:p>
    <w:p>
      <w:pPr>
        <w:pStyle w:val="NoSpacing"/>
        <w:jc w:val="center"/>
        <w:rPr>
          <w:rFonts w:ascii="Calibri" w:hAnsi="Calibri" w:cs="Calibri" w:asciiTheme="minorHAnsi" w:cstheme="minorHAnsi" w:hAnsiTheme="minorHAnsi"/>
        </w:rPr>
      </w:pPr>
      <w:r>
        <w:rPr>
          <w:rFonts w:cs="Calibri" w:cstheme="minorHAnsi"/>
          <w:b/>
          <w:caps/>
          <w:sz w:val="20"/>
          <w:szCs w:val="20"/>
          <w:u w:val="single"/>
        </w:rPr>
        <w:t>(Condomínio Horizontal fechado de lotes - loteamento de acesso controlado)</w:t>
      </w:r>
      <w:bookmarkEnd w:id="0"/>
    </w:p>
    <w:p>
      <w:pPr>
        <w:pStyle w:val="NoSpacing"/>
        <w:jc w:val="center"/>
        <w:rPr/>
      </w:pPr>
      <w:r>
        <w:rPr>
          <w:rFonts w:cs="Calibri" w:cstheme="minorHAnsi"/>
          <w:sz w:val="24"/>
          <w:szCs w:val="24"/>
        </w:rPr>
        <w:t xml:space="preserve">(Art. 1.358-A cc; Lei n° 6.766/79; Lei 4591/64; Lei n° 10.257/01; Provimento n° </w:t>
      </w:r>
      <w:r>
        <w:rPr>
          <w:rFonts w:cs="Calibri" w:cstheme="minorHAnsi"/>
          <w:color w:val="00000A"/>
          <w:sz w:val="24"/>
          <w:szCs w:val="24"/>
        </w:rPr>
        <w:t>93</w:t>
      </w:r>
      <w:r>
        <w:rPr>
          <w:rFonts w:cs="Calibri" w:cstheme="minorHAnsi"/>
          <w:sz w:val="24"/>
          <w:szCs w:val="24"/>
        </w:rPr>
        <w:t>/CGJ/2020 e Leis Municipais n° 2.125/2013).</w:t>
      </w:r>
    </w:p>
    <w:p>
      <w:pPr>
        <w:pStyle w:val="NoSpacing"/>
        <w:jc w:val="center"/>
        <w:rPr>
          <w:rFonts w:ascii="Calibri" w:hAnsi="Calibri" w:cs="Calibri" w:asciiTheme="minorHAnsi" w:cstheme="minorHAnsi" w:hAnsiTheme="minorHAnsi"/>
          <w:sz w:val="24"/>
          <w:szCs w:val="24"/>
        </w:rPr>
      </w:pPr>
      <w:r>
        <w:rPr>
          <w:rFonts w:cs="Calibri" w:cstheme="minorHAnsi"/>
          <w:sz w:val="24"/>
          <w:szCs w:val="24"/>
        </w:rPr>
      </w:r>
    </w:p>
    <w:tbl>
      <w:tblPr>
        <w:tblW w:w="15613" w:type="dxa"/>
        <w:jc w:val="left"/>
        <w:tblInd w:w="-30" w:type="dxa"/>
        <w:tblCellMar>
          <w:top w:w="0" w:type="dxa"/>
          <w:left w:w="78" w:type="dxa"/>
          <w:bottom w:w="0" w:type="dxa"/>
          <w:right w:w="108" w:type="dxa"/>
        </w:tblCellMar>
        <w:tblLook w:firstRow="0" w:noVBand="0" w:lastRow="0" w:firstColumn="0" w:lastColumn="0" w:noHBand="0" w:val="0000"/>
      </w:tblPr>
      <w:tblGrid>
        <w:gridCol w:w="418"/>
        <w:gridCol w:w="7863"/>
        <w:gridCol w:w="1920"/>
        <w:gridCol w:w="5411"/>
      </w:tblGrid>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jc w:val="center"/>
              <w:rPr>
                <w:rFonts w:ascii="Calibri" w:hAnsi="Calibri" w:cs="Calibri" w:asciiTheme="minorHAnsi" w:cstheme="minorHAnsi" w:hAnsiTheme="minorHAnsi"/>
              </w:rPr>
            </w:pPr>
            <w:r>
              <w:rPr>
                <w:rFonts w:cs="Calibri" w:cstheme="minorHAnsi"/>
              </w:rPr>
              <w:t>N°</w:t>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jc w:val="center"/>
              <w:rPr>
                <w:rFonts w:ascii="Calibri" w:hAnsi="Calibri" w:cs="Calibri" w:asciiTheme="minorHAnsi" w:cstheme="minorHAnsi" w:hAnsiTheme="minorHAnsi"/>
              </w:rPr>
            </w:pPr>
            <w:r>
              <w:rPr>
                <w:rFonts w:cs="Calibri" w:cstheme="minorHAnsi"/>
              </w:rPr>
              <w:t xml:space="preserve">Título </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jc w:val="center"/>
              <w:rPr>
                <w:rFonts w:ascii="Calibri" w:hAnsi="Calibri" w:cs="Calibri" w:asciiTheme="minorHAnsi" w:cstheme="minorHAnsi" w:hAnsiTheme="minorHAnsi"/>
                <w:sz w:val="24"/>
                <w:szCs w:val="24"/>
              </w:rPr>
            </w:pPr>
            <w:r>
              <w:rPr>
                <w:rFonts w:cs="Calibri" w:cstheme="minorHAnsi"/>
                <w:sz w:val="24"/>
                <w:szCs w:val="24"/>
              </w:rPr>
              <w:t>Fundamentação</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jc w:val="center"/>
              <w:rPr>
                <w:rFonts w:ascii="Calibri" w:hAnsi="Calibri" w:cs="Calibri" w:asciiTheme="minorHAnsi" w:cstheme="minorHAnsi" w:hAnsiTheme="minorHAnsi"/>
                <w:sz w:val="24"/>
                <w:szCs w:val="24"/>
              </w:rPr>
            </w:pPr>
            <w:r>
              <w:rPr>
                <w:rFonts w:cs="Calibri" w:cstheme="minorHAnsi"/>
                <w:sz w:val="24"/>
                <w:szCs w:val="24"/>
              </w:rPr>
              <w:t xml:space="preserve">Disponível em: </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Requerimento ao Oficial de Registro de Imóveis assinado por todos os proprietários (com firma reconhecida) solicitando o registro do Condomínio Horizontal Fechado.</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996</w:t>
            </w:r>
            <w:r>
              <w:rPr>
                <w:rFonts w:cs="Times New Roman"/>
                <w:sz w:val="18"/>
                <w:szCs w:val="18"/>
              </w:rPr>
              <w:t>. Prov.</w:t>
            </w:r>
            <w:r>
              <w:rPr>
                <w:rFonts w:cs="Times New Roman"/>
                <w:color w:val="00000A"/>
                <w:sz w:val="18"/>
                <w:szCs w:val="18"/>
              </w:rPr>
              <w:t>93/2020</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rFonts w:ascii="Calibri" w:hAnsi="Calibri" w:cs="Calibri" w:asciiTheme="minorHAnsi" w:cstheme="minorHAnsi" w:hAnsiTheme="minorHAnsi"/>
                <w:sz w:val="20"/>
                <w:szCs w:val="20"/>
              </w:rPr>
            </w:pPr>
            <w:r>
              <w:rPr>
                <w:rFonts w:cs="Calibri" w:cstheme="minorHAnsi"/>
                <w:sz w:val="20"/>
                <w:szCs w:val="20"/>
              </w:rPr>
              <w:t>Modelo disponível no Serviço Registral de Imóveis</w:t>
            </w:r>
          </w:p>
        </w:tc>
      </w:tr>
      <w:tr>
        <w:trPr/>
        <w:tc>
          <w:tcPr>
            <w:tcW w:w="418"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b/>
                <w:bCs/>
              </w:rPr>
              <w:t>2.1 Sendo pessoa Jurídica</w:t>
            </w:r>
            <w:r>
              <w:rPr>
                <w:rFonts w:cs="Calibri" w:cstheme="minorHAnsi"/>
              </w:rPr>
              <w:t>: Cópia autenticada do Contrato Social da empresa, e respectiva Alteração Contratual, quando for o caso.</w:t>
            </w:r>
            <w:r>
              <w:rPr>
                <w:rStyle w:val="Ncoradanotaderodap"/>
                <w:rFonts w:cs="Calibri" w:cstheme="minorHAnsi"/>
              </w:rPr>
              <w:footnoteReference w:id="2"/>
            </w:r>
            <w:r>
              <w:rPr>
                <w:rFonts w:cs="Calibri" w:cstheme="minorHAnsi"/>
              </w:rPr>
              <w:t xml:space="preserve"> </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1.000</w:t>
            </w:r>
            <w:r>
              <w:rPr>
                <w:rFonts w:cs="Times New Roman"/>
                <w:sz w:val="18"/>
                <w:szCs w:val="18"/>
              </w:rPr>
              <w:t>. Prov.</w:t>
            </w:r>
            <w:r>
              <w:rPr>
                <w:rFonts w:cs="Times New Roman"/>
                <w:color w:val="00000A"/>
                <w:sz w:val="18"/>
                <w:szCs w:val="18"/>
              </w:rPr>
              <w:t>93/2020</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3">
              <w:r>
                <w:rPr>
                  <w:rStyle w:val="LinkdaInternet"/>
                  <w:rFonts w:cs="Calibri" w:cstheme="minorHAnsi"/>
                  <w:sz w:val="20"/>
                  <w:szCs w:val="20"/>
                </w:rPr>
                <w:t>http://www.jucemg.mg.gov.br/ibr/</w:t>
              </w:r>
            </w:hyperlink>
            <w:r>
              <w:rPr>
                <w:rFonts w:cs="Calibri" w:cstheme="minorHAnsi"/>
                <w:sz w:val="20"/>
                <w:szCs w:val="20"/>
              </w:rPr>
              <w:t xml:space="preserve"> Loteador (contador)</w:t>
            </w:r>
          </w:p>
        </w:tc>
      </w:tr>
      <w:tr>
        <w:trPr/>
        <w:tc>
          <w:tcPr>
            <w:tcW w:w="418"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2.2 Certidão simplificada da Junta Comercial ou do Ofício de Registro Civil das Pessoas Jurídicas, na qual se verificará a capacidade de representação dos signatários do requerimento</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1.000</w:t>
            </w:r>
            <w:r>
              <w:rPr>
                <w:rFonts w:cs="Times New Roman"/>
                <w:sz w:val="18"/>
                <w:szCs w:val="18"/>
              </w:rPr>
              <w:t>. Prov.</w:t>
            </w:r>
            <w:r>
              <w:rPr>
                <w:rFonts w:cs="Times New Roman"/>
                <w:color w:val="00000A"/>
                <w:sz w:val="18"/>
                <w:szCs w:val="18"/>
              </w:rPr>
              <w:t>93/2020</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4">
              <w:r>
                <w:rPr>
                  <w:rStyle w:val="LinkdaInternet"/>
                  <w:rFonts w:cs="Calibri" w:cstheme="minorHAnsi"/>
                  <w:sz w:val="20"/>
                  <w:szCs w:val="20"/>
                </w:rPr>
                <w:t>http://www.jucemg.mg.gov.br/ibr/</w:t>
              </w:r>
            </w:hyperlink>
            <w:r>
              <w:rPr>
                <w:rFonts w:cs="Calibri" w:cstheme="minorHAnsi"/>
                <w:sz w:val="20"/>
                <w:szCs w:val="20"/>
              </w:rPr>
              <w:t xml:space="preserve"> Loteador (contador)</w:t>
            </w:r>
          </w:p>
        </w:tc>
      </w:tr>
      <w:tr>
        <w:trPr/>
        <w:tc>
          <w:tcPr>
            <w:tcW w:w="418"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rPr>
            </w:pPr>
            <w:r>
              <w:rPr>
                <w:rFonts w:cs="Times New Roman"/>
              </w:rPr>
              <w:t>2.3 Comprovante de inscrição no CNPJ</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1.000</w:t>
            </w:r>
            <w:r>
              <w:rPr>
                <w:rFonts w:cs="Times New Roman"/>
                <w:sz w:val="18"/>
                <w:szCs w:val="18"/>
              </w:rPr>
              <w:t>. Prov.</w:t>
            </w:r>
            <w:r>
              <w:rPr>
                <w:rFonts w:cs="Times New Roman"/>
                <w:color w:val="00000A"/>
                <w:sz w:val="18"/>
                <w:szCs w:val="18"/>
              </w:rPr>
              <w:t>93/2020</w:t>
            </w:r>
          </w:p>
          <w:p>
            <w:pPr>
              <w:pStyle w:val="NoSpacing"/>
              <w:spacing w:lineRule="auto" w:line="240"/>
              <w:ind w:left="-35" w:right="-78" w:hanging="0"/>
              <w:jc w:val="both"/>
              <w:rPr/>
            </w:pPr>
            <w:r>
              <w:rPr/>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5">
              <w:r>
                <w:rPr>
                  <w:rStyle w:val="LinkdaInternet"/>
                  <w:sz w:val="18"/>
                  <w:szCs w:val="18"/>
                </w:rPr>
                <w:t>http://receita.economia.gov.br/</w:t>
              </w:r>
            </w:hyperlink>
            <w:r>
              <w:rPr>
                <w:sz w:val="18"/>
                <w:szCs w:val="18"/>
              </w:rPr>
              <w:t xml:space="preserve"> </w:t>
            </w:r>
            <w:r>
              <w:rPr>
                <w:rFonts w:cs="Times New Roman"/>
                <w:sz w:val="18"/>
                <w:szCs w:val="18"/>
              </w:rPr>
              <w:t>Loteador (contador)</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rPr>
            </w:pPr>
            <w:r>
              <w:rPr>
                <w:rFonts w:cs="Times New Roman"/>
              </w:rPr>
              <w:t>Certidão da matrícula ou título de propriedade do imóvel</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Art. 18, I Lei 6.766</w:t>
            </w:r>
          </w:p>
          <w:p>
            <w:pPr>
              <w:pStyle w:val="NoSpacing"/>
              <w:spacing w:lineRule="auto" w:line="240"/>
              <w:ind w:left="-35" w:right="-78" w:hanging="0"/>
              <w:jc w:val="both"/>
              <w:rPr/>
            </w:pPr>
            <w:r>
              <w:rPr>
                <w:rFonts w:cs="Times New Roman"/>
                <w:color w:val="00000A"/>
                <w:sz w:val="18"/>
                <w:szCs w:val="18"/>
              </w:rPr>
              <w:t>Art. 996, I Prov.93/2020</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20"/>
                <w:szCs w:val="20"/>
              </w:rPr>
            </w:pPr>
            <w:r>
              <w:rPr>
                <w:rFonts w:cs="Times New Roman"/>
                <w:sz w:val="20"/>
                <w:szCs w:val="20"/>
              </w:rPr>
              <w:t xml:space="preserve">Serviço Registral de Imóveis </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rPr>
            </w:pPr>
            <w:r>
              <w:rPr>
                <w:rFonts w:cs="Times New Roman"/>
              </w:rPr>
              <w:t>Certidão ônus reais, ações reipersecutórias, ou negativa, relativos ao imóvel.</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Art. 18, IV, C Lei 6.766</w:t>
            </w:r>
          </w:p>
          <w:p>
            <w:pPr>
              <w:pStyle w:val="NoSpacing"/>
              <w:spacing w:lineRule="auto" w:line="240"/>
              <w:ind w:left="-35" w:right="-78" w:hanging="0"/>
              <w:jc w:val="both"/>
              <w:rPr/>
            </w:pPr>
            <w:r>
              <w:rPr>
                <w:rFonts w:cs="Times New Roman"/>
                <w:color w:val="00000A"/>
                <w:sz w:val="18"/>
                <w:szCs w:val="18"/>
              </w:rPr>
              <w:t>Art. 996, I Prov.93/2020</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20"/>
                <w:szCs w:val="20"/>
              </w:rPr>
            </w:pPr>
            <w:r>
              <w:rPr>
                <w:rFonts w:cs="Times New Roman"/>
                <w:sz w:val="20"/>
                <w:szCs w:val="20"/>
              </w:rPr>
              <w:t>Serviço Registral de Imóveis</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rPr>
            </w:pPr>
            <w:r>
              <w:rPr>
                <w:rFonts w:cs="Times New Roman"/>
              </w:rPr>
              <w:t>Histórico dos títulos de propriedade do imóvel, abrangendo os últimos 20 (vintes anos), acompanhados dos respectivos comprovantes.</w:t>
            </w:r>
            <w:r>
              <w:rPr>
                <w:rStyle w:val="Ncoradanotaderodap"/>
                <w:rFonts w:cs="Times New Roman"/>
              </w:rPr>
              <w:footnoteReference w:id="3"/>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Art. 18, II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996, II</w:t>
            </w:r>
            <w:r>
              <w:rPr>
                <w:rFonts w:cs="Times New Roman"/>
                <w:sz w:val="18"/>
                <w:szCs w:val="18"/>
              </w:rPr>
              <w:t xml:space="preserve"> Prov.</w:t>
            </w:r>
            <w:r>
              <w:rPr>
                <w:rFonts w:cs="Times New Roman"/>
                <w:color w:val="00000A"/>
                <w:sz w:val="18"/>
                <w:szCs w:val="18"/>
              </w:rPr>
              <w:t>93/2020</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cs="Times New Roman"/>
                <w:sz w:val="20"/>
                <w:szCs w:val="20"/>
              </w:rPr>
            </w:pPr>
            <w:r>
              <w:rPr>
                <w:rFonts w:cs="Times New Roman"/>
                <w:sz w:val="20"/>
                <w:szCs w:val="20"/>
              </w:rPr>
              <w:t>Serviço Registral de Imóveis</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 xml:space="preserve">Memorial de Instituição de Condomínio </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 xml:space="preserve">Art. </w:t>
            </w:r>
            <w:r>
              <w:rPr>
                <w:rFonts w:eastAsia="Calibri" w:cs="Times New Roman"/>
                <w:color w:val="00000A"/>
                <w:kern w:val="0"/>
                <w:sz w:val="18"/>
                <w:szCs w:val="18"/>
                <w:lang w:val="pt-BR" w:eastAsia="en-US" w:bidi="ar-SA"/>
              </w:rPr>
              <w:t>1.032</w:t>
            </w:r>
            <w:r>
              <w:rPr>
                <w:rFonts w:cs="Times New Roman"/>
                <w:sz w:val="18"/>
                <w:szCs w:val="18"/>
              </w:rPr>
              <w:t xml:space="preserve"> Prov.</w:t>
            </w:r>
            <w:r>
              <w:rPr>
                <w:rFonts w:eastAsia="Calibri" w:cs="Times New Roman"/>
                <w:color w:val="00000A"/>
                <w:kern w:val="0"/>
                <w:sz w:val="18"/>
                <w:szCs w:val="18"/>
                <w:lang w:val="pt-BR" w:eastAsia="en-US" w:bidi="ar-SA"/>
              </w:rPr>
              <w:t>93/2020</w:t>
            </w:r>
          </w:p>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t>Lei 4.591/64</w:t>
            </w:r>
          </w:p>
          <w:p>
            <w:pPr>
              <w:pStyle w:val="NoSpacing"/>
              <w:ind w:left="-35" w:right="-78" w:hanging="0"/>
              <w:jc w:val="both"/>
              <w:rPr>
                <w:rFonts w:ascii="Calibri" w:hAnsi="Calibri" w:cs="Calibri" w:asciiTheme="minorHAnsi" w:cstheme="minorHAnsi" w:hAnsiTheme="minorHAnsi"/>
                <w:sz w:val="18"/>
                <w:szCs w:val="18"/>
              </w:rPr>
            </w:pPr>
            <w:bookmarkStart w:id="2" w:name="__DdeLink__893_474150987"/>
            <w:r>
              <w:rPr>
                <w:rFonts w:cs="Calibri" w:cstheme="minorHAnsi"/>
                <w:sz w:val="18"/>
                <w:szCs w:val="18"/>
              </w:rPr>
              <w:t xml:space="preserve">Art.1°e30 </w:t>
            </w:r>
            <w:bookmarkEnd w:id="2"/>
            <w:r>
              <w:rPr>
                <w:rFonts w:cs="Calibri" w:cstheme="minorHAnsi"/>
                <w:sz w:val="18"/>
                <w:szCs w:val="18"/>
              </w:rPr>
              <w:t>Lei 2.223/15</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pPr>
            <w:r>
              <w:rPr>
                <w:rStyle w:val="LinkdaInternet"/>
                <w:rFonts w:cs="Calibri" w:cstheme="minorHAnsi"/>
                <w:color w:val="000000"/>
                <w:sz w:val="20"/>
                <w:szCs w:val="20"/>
                <w:u w:val="none"/>
              </w:rPr>
              <w:t xml:space="preserve">Modelo disponível: </w:t>
            </w:r>
            <w:hyperlink r:id="rId6">
              <w:r>
                <w:rPr>
                  <w:rStyle w:val="LinkdaInternet"/>
                  <w:rFonts w:cs="Calibri" w:cstheme="minorHAnsi"/>
                  <w:sz w:val="20"/>
                  <w:szCs w:val="20"/>
                </w:rPr>
                <w:t>https://corimg.org/incorporacoes-imobiliarias</w:t>
              </w:r>
            </w:hyperlink>
            <w:r>
              <w:rPr>
                <w:rFonts w:cs="Calibri" w:cstheme="minorHAnsi"/>
                <w:sz w:val="20"/>
                <w:szCs w:val="20"/>
              </w:rPr>
              <w:t xml:space="preserve"> </w:t>
            </w:r>
          </w:p>
        </w:tc>
      </w:tr>
      <w:tr>
        <w:trPr>
          <w:trHeight w:val="843" w:hRule="atLeast"/>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 xml:space="preserve">NBR 12.721/2006 a folha preliminar e os quadros I, II, III, IV-A, IV-B e V, subscritos pelos proprietários e pelo profissional responsável pelos cálculos, com firmas reconhecidas em todas as páginas. </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 xml:space="preserve">Art. </w:t>
            </w:r>
            <w:r>
              <w:rPr>
                <w:rFonts w:eastAsia="Calibri" w:cs="Times New Roman"/>
                <w:color w:val="00000A"/>
                <w:kern w:val="0"/>
                <w:sz w:val="18"/>
                <w:szCs w:val="18"/>
                <w:lang w:val="pt-BR" w:eastAsia="en-US" w:bidi="ar-SA"/>
              </w:rPr>
              <w:t>1.039</w:t>
            </w:r>
            <w:r>
              <w:rPr>
                <w:rFonts w:cs="Times New Roman"/>
                <w:sz w:val="18"/>
                <w:szCs w:val="18"/>
              </w:rPr>
              <w:t>.III Prov.</w:t>
            </w:r>
            <w:r>
              <w:rPr>
                <w:rFonts w:eastAsia="Calibri" w:cs="Times New Roman"/>
                <w:color w:val="00000A"/>
                <w:kern w:val="0"/>
                <w:sz w:val="18"/>
                <w:szCs w:val="18"/>
                <w:lang w:val="pt-BR" w:eastAsia="en-US" w:bidi="ar-SA"/>
              </w:rPr>
              <w:t>93/20</w:t>
            </w:r>
          </w:p>
          <w:p>
            <w:pPr>
              <w:pStyle w:val="NoSpacing"/>
              <w:ind w:left="-35" w:right="-78" w:hanging="0"/>
              <w:jc w:val="left"/>
              <w:rPr/>
            </w:pPr>
            <w:r>
              <w:rPr>
                <w:rFonts w:cs="Calibri" w:cstheme="minorHAnsi"/>
                <w:sz w:val="18"/>
                <w:szCs w:val="18"/>
              </w:rPr>
              <w:t xml:space="preserve">Art. 32, “e”, “g”, “h” e “i”, da Lei nº 4.591/64 </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rStyle w:val="LinkdaInternet"/>
                <w:rFonts w:ascii="Calibri" w:hAnsi="Calibri" w:cs="Calibri" w:asciiTheme="minorHAnsi" w:cstheme="minorHAnsi" w:hAnsiTheme="minorHAnsi"/>
                <w:color w:val="000000"/>
                <w:sz w:val="20"/>
                <w:szCs w:val="20"/>
                <w:u w:val="none"/>
              </w:rPr>
            </w:pPr>
            <w:r>
              <w:rPr>
                <w:rFonts w:cs="Calibri" w:cstheme="minorHAnsi"/>
                <w:sz w:val="20"/>
                <w:szCs w:val="20"/>
              </w:rPr>
              <w:t>Responsável técnico</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ART/CREA ou RRT/CAU, relativamente aos cálculos e os correspondentes comprovantes de pagamento, quando a anotação o exigir</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 xml:space="preserve">Art. </w:t>
            </w:r>
            <w:r>
              <w:rPr>
                <w:rFonts w:eastAsia="Calibri" w:cs="Times New Roman"/>
                <w:color w:val="00000A"/>
                <w:kern w:val="0"/>
                <w:sz w:val="18"/>
                <w:szCs w:val="18"/>
                <w:lang w:val="pt-BR" w:eastAsia="en-US" w:bidi="ar-SA"/>
              </w:rPr>
              <w:t>1.039</w:t>
            </w:r>
            <w:r>
              <w:rPr>
                <w:rFonts w:cs="Times New Roman"/>
                <w:sz w:val="18"/>
                <w:szCs w:val="18"/>
              </w:rPr>
              <w:t>.I</w:t>
            </w:r>
            <w:r>
              <w:rPr>
                <w:rFonts w:eastAsia="Calibri" w:cs="Times New Roman"/>
                <w:color w:val="00000A"/>
                <w:kern w:val="0"/>
                <w:sz w:val="18"/>
                <w:szCs w:val="18"/>
                <w:lang w:val="pt-BR" w:eastAsia="en-US" w:bidi="ar-SA"/>
              </w:rPr>
              <w:t>V</w:t>
            </w:r>
            <w:r>
              <w:rPr>
                <w:rFonts w:cs="Times New Roman"/>
                <w:sz w:val="18"/>
                <w:szCs w:val="18"/>
              </w:rPr>
              <w:t xml:space="preserve"> Prov.</w:t>
            </w:r>
            <w:r>
              <w:rPr>
                <w:rFonts w:eastAsia="Calibri" w:cs="Times New Roman"/>
                <w:color w:val="00000A"/>
                <w:kern w:val="0"/>
                <w:sz w:val="18"/>
                <w:szCs w:val="18"/>
                <w:lang w:val="pt-BR" w:eastAsia="en-US" w:bidi="ar-SA"/>
              </w:rPr>
              <w:t>93/20</w:t>
            </w:r>
          </w:p>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rStyle w:val="LinkdaInternet"/>
                <w:rFonts w:ascii="Calibri" w:hAnsi="Calibri" w:cs="Calibri" w:asciiTheme="minorHAnsi" w:cstheme="minorHAnsi" w:hAnsiTheme="minorHAnsi"/>
                <w:color w:val="000000"/>
                <w:sz w:val="20"/>
                <w:szCs w:val="20"/>
                <w:u w:val="none"/>
              </w:rPr>
            </w:pPr>
            <w:r>
              <w:rPr>
                <w:rFonts w:cs="Calibri" w:cstheme="minorHAnsi"/>
                <w:sz w:val="20"/>
                <w:szCs w:val="20"/>
              </w:rPr>
              <w:t>Responsável técnico</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t>Convenção de Condomínio</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rPr>
              <w:t xml:space="preserve">Art. </w:t>
            </w:r>
            <w:r>
              <w:rPr>
                <w:rFonts w:eastAsia="Calibri" w:cs="Times New Roman"/>
                <w:color w:val="00000A"/>
                <w:kern w:val="0"/>
                <w:sz w:val="18"/>
                <w:szCs w:val="18"/>
                <w:lang w:val="pt-BR" w:eastAsia="en-US" w:bidi="ar-SA"/>
              </w:rPr>
              <w:t>1.019</w:t>
            </w:r>
            <w:r>
              <w:rPr>
                <w:rFonts w:cs="Times New Roman"/>
                <w:sz w:val="18"/>
                <w:szCs w:val="18"/>
              </w:rPr>
              <w:t>. Prov.</w:t>
            </w:r>
            <w:r>
              <w:rPr>
                <w:rFonts w:eastAsia="Calibri" w:cs="Times New Roman"/>
                <w:color w:val="00000A"/>
                <w:kern w:val="0"/>
                <w:sz w:val="18"/>
                <w:szCs w:val="18"/>
                <w:lang w:val="pt-BR" w:eastAsia="en-US" w:bidi="ar-SA"/>
              </w:rPr>
              <w:t>93/2020</w:t>
            </w:r>
          </w:p>
          <w:p>
            <w:pPr>
              <w:pStyle w:val="NoSpacing"/>
              <w:ind w:left="-35" w:right="-78" w:hanging="0"/>
              <w:jc w:val="both"/>
              <w:rPr>
                <w:rFonts w:cs="Times New Roman"/>
                <w:sz w:val="18"/>
                <w:szCs w:val="18"/>
              </w:rPr>
            </w:pPr>
            <w:r>
              <w:rPr>
                <w:rFonts w:cs="Times New Roman"/>
                <w:sz w:val="18"/>
                <w:szCs w:val="18"/>
              </w:rPr>
              <w:t>Lei 4.591/64</w:t>
            </w:r>
          </w:p>
          <w:p>
            <w:pPr>
              <w:pStyle w:val="NoSpacing"/>
              <w:ind w:left="-35" w:right="-78" w:hanging="0"/>
              <w:jc w:val="both"/>
              <w:rPr/>
            </w:pPr>
            <w:r>
              <w:rPr>
                <w:rFonts w:cs="Times New Roman"/>
                <w:sz w:val="18"/>
                <w:szCs w:val="18"/>
              </w:rPr>
              <w:t>Art.1°e 30 Lei 2.223/15</w:t>
            </w:r>
          </w:p>
          <w:p>
            <w:pPr>
              <w:pStyle w:val="NoSpacing"/>
              <w:spacing w:lineRule="auto" w:line="240"/>
              <w:ind w:left="-35" w:right="-78" w:hanging="0"/>
              <w:jc w:val="both"/>
              <w:rPr/>
            </w:pPr>
            <w:r>
              <w:rPr>
                <w:rFonts w:cs="Times New Roman"/>
                <w:sz w:val="18"/>
                <w:szCs w:val="18"/>
              </w:rPr>
              <w:t xml:space="preserve">Art. </w:t>
            </w:r>
            <w:r>
              <w:rPr>
                <w:rFonts w:eastAsia="Calibri" w:cs="Times New Roman"/>
                <w:color w:val="00000A"/>
                <w:kern w:val="0"/>
                <w:sz w:val="18"/>
                <w:szCs w:val="18"/>
                <w:lang w:val="pt-BR" w:eastAsia="en-US" w:bidi="ar-SA"/>
              </w:rPr>
              <w:t>1.093</w:t>
            </w:r>
            <w:r>
              <w:rPr>
                <w:rFonts w:cs="Times New Roman"/>
                <w:sz w:val="18"/>
                <w:szCs w:val="18"/>
              </w:rPr>
              <w:t>. Prov.</w:t>
            </w:r>
            <w:r>
              <w:rPr>
                <w:rFonts w:cs="Times New Roman"/>
                <w:color w:val="00000A"/>
                <w:sz w:val="18"/>
                <w:szCs w:val="18"/>
              </w:rPr>
              <w:t>93/</w:t>
            </w:r>
            <w:r>
              <w:rPr>
                <w:rFonts w:cs="Times New Roman"/>
                <w:color w:val="00000A"/>
                <w:sz w:val="18"/>
                <w:szCs w:val="18"/>
              </w:rPr>
              <w:t>2020</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pPr>
            <w:r>
              <w:rPr>
                <w:rStyle w:val="LinkdaInternet"/>
                <w:color w:val="000000"/>
                <w:sz w:val="18"/>
                <w:szCs w:val="18"/>
                <w:u w:val="none"/>
              </w:rPr>
              <w:t xml:space="preserve">Modelo disponível: </w:t>
            </w:r>
            <w:hyperlink r:id="rId7">
              <w:r>
                <w:rPr>
                  <w:rStyle w:val="LinkdaInternet"/>
                  <w:sz w:val="18"/>
                  <w:szCs w:val="18"/>
                </w:rPr>
                <w:t>http://www.serjus.com.br/on-line/noticia.php?id=1477</w:t>
              </w:r>
            </w:hyperlink>
            <w:r>
              <w:rPr>
                <w:sz w:val="18"/>
                <w:szCs w:val="18"/>
              </w:rPr>
              <w:t xml:space="preserve"> </w:t>
            </w:r>
          </w:p>
        </w:tc>
      </w:tr>
      <w:tr>
        <w:trPr/>
        <w:tc>
          <w:tcPr>
            <w:tcW w:w="418"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Memorial de Incorporação imobiliária (em caso de venda antes dos términos das obras)</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Calibri" w:cstheme="minorHAnsi"/>
                <w:sz w:val="18"/>
                <w:szCs w:val="18"/>
              </w:rPr>
              <w:t>Art.1.358-A, §3°, da Lei 10.406/02 – C.C</w:t>
            </w:r>
          </w:p>
          <w:p>
            <w:pPr>
              <w:pStyle w:val="NoSpacing"/>
              <w:spacing w:lineRule="auto" w:line="240"/>
              <w:ind w:left="-35" w:right="-78" w:hanging="0"/>
              <w:jc w:val="both"/>
              <w:rPr/>
            </w:pPr>
            <w:r>
              <w:rPr>
                <w:rFonts w:cs="Times New Roman"/>
                <w:sz w:val="18"/>
                <w:szCs w:val="18"/>
              </w:rPr>
              <w:t xml:space="preserve">Art. </w:t>
            </w:r>
            <w:r>
              <w:rPr>
                <w:rFonts w:eastAsia="Calibri" w:cs="Times New Roman"/>
                <w:color w:val="00000A"/>
                <w:kern w:val="0"/>
                <w:sz w:val="18"/>
                <w:szCs w:val="18"/>
                <w:lang w:val="pt-BR" w:eastAsia="en-US" w:bidi="ar-SA"/>
              </w:rPr>
              <w:t>1.090</w:t>
            </w:r>
            <w:r>
              <w:rPr>
                <w:rFonts w:cs="Times New Roman"/>
                <w:sz w:val="18"/>
                <w:szCs w:val="18"/>
              </w:rPr>
              <w:t>. Prov.</w:t>
            </w:r>
            <w:r>
              <w:rPr>
                <w:rFonts w:cs="Times New Roman"/>
                <w:color w:val="00000A"/>
                <w:sz w:val="18"/>
                <w:szCs w:val="18"/>
              </w:rPr>
              <w:t>93/</w:t>
            </w:r>
            <w:r>
              <w:rPr>
                <w:rFonts w:cs="Times New Roman"/>
                <w:color w:val="00000A"/>
                <w:sz w:val="18"/>
                <w:szCs w:val="18"/>
              </w:rPr>
              <w:t>2020</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pPr>
            <w:r>
              <w:rPr>
                <w:rStyle w:val="LinkdaInternet"/>
                <w:rFonts w:cs="Calibri" w:cstheme="minorHAnsi"/>
                <w:color w:val="000000"/>
                <w:sz w:val="20"/>
                <w:szCs w:val="20"/>
                <w:u w:val="none"/>
              </w:rPr>
              <w:t xml:space="preserve">Modelo disponível: </w:t>
            </w:r>
            <w:hyperlink r:id="rId8">
              <w:r>
                <w:rPr>
                  <w:rStyle w:val="LinkdaInternet"/>
                  <w:rFonts w:cs="Calibri" w:cstheme="minorHAnsi"/>
                  <w:sz w:val="20"/>
                  <w:szCs w:val="20"/>
                </w:rPr>
                <w:t>https://corimg.org/incorporacoes-imobiliarias</w:t>
              </w:r>
            </w:hyperlink>
            <w:r>
              <w:rPr>
                <w:rFonts w:cs="Calibri" w:cstheme="minorHAnsi"/>
                <w:sz w:val="20"/>
                <w:szCs w:val="20"/>
              </w:rPr>
              <w:t xml:space="preserve"> </w:t>
            </w:r>
          </w:p>
        </w:tc>
      </w:tr>
      <w:tr>
        <w:trPr/>
        <w:tc>
          <w:tcPr>
            <w:tcW w:w="418"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cs="Calibri" w:cstheme="minorHAnsi"/>
              </w:rPr>
              <w:t>1</w:t>
            </w:r>
            <w:r>
              <w:rPr>
                <w:rFonts w:cs="Calibri" w:cstheme="minorHAnsi"/>
                <w:color w:val="00000A"/>
                <w:sz w:val="22"/>
              </w:rPr>
              <w:t>2</w:t>
            </w:r>
            <w:r>
              <w:rPr>
                <w:rFonts w:cs="Calibri" w:cstheme="minorHAnsi"/>
              </w:rPr>
              <w:t>.1 Memorial de Incorporação</w:t>
            </w:r>
          </w:p>
          <w:p>
            <w:pPr>
              <w:pStyle w:val="NoSpacing"/>
              <w:rPr>
                <w:rFonts w:ascii="Calibri" w:hAnsi="Calibri" w:cs="Calibri" w:asciiTheme="minorHAnsi" w:cstheme="minorHAnsi" w:hAnsiTheme="minorHAnsi"/>
              </w:rPr>
            </w:pPr>
            <w:r>
              <w:rPr>
                <w:rFonts w:cs="Calibri" w:cstheme="minorHAnsi"/>
              </w:rPr>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Calibri" w:cstheme="minorHAnsi"/>
                <w:sz w:val="18"/>
                <w:szCs w:val="18"/>
              </w:rPr>
              <w:t xml:space="preserve">Art. </w:t>
            </w:r>
            <w:r>
              <w:rPr>
                <w:rFonts w:eastAsia="Calibri" w:cs="Calibri" w:cstheme="minorHAnsi"/>
                <w:color w:val="00000A"/>
                <w:kern w:val="0"/>
                <w:sz w:val="18"/>
                <w:szCs w:val="18"/>
                <w:lang w:val="pt-BR" w:eastAsia="en-US" w:bidi="ar-SA"/>
              </w:rPr>
              <w:t xml:space="preserve">1.059. </w:t>
            </w:r>
            <w:r>
              <w:rPr>
                <w:rFonts w:cs="Calibri" w:cstheme="minorHAnsi"/>
                <w:sz w:val="18"/>
                <w:szCs w:val="18"/>
              </w:rPr>
              <w:t>Prov.</w:t>
            </w:r>
            <w:r>
              <w:rPr>
                <w:rFonts w:eastAsia="Calibri" w:cs="Calibri" w:cstheme="minorHAnsi"/>
                <w:color w:val="00000A"/>
                <w:kern w:val="0"/>
                <w:sz w:val="18"/>
                <w:szCs w:val="18"/>
                <w:lang w:val="pt-BR" w:eastAsia="en-US" w:bidi="ar-SA"/>
              </w:rPr>
              <w:t>93/2020</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rFonts w:ascii="Calibri" w:hAnsi="Calibri" w:cs="Calibri" w:asciiTheme="minorHAnsi" w:cstheme="minorHAnsi" w:hAnsiTheme="minorHAnsi"/>
                <w:sz w:val="20"/>
                <w:szCs w:val="20"/>
              </w:rPr>
            </w:pPr>
            <w:r>
              <w:rPr>
                <w:rFonts w:cs="Calibri" w:cstheme="minorHAnsi"/>
                <w:sz w:val="20"/>
                <w:szCs w:val="20"/>
              </w:rPr>
              <w:t>Empreendedor</w:t>
            </w:r>
          </w:p>
        </w:tc>
      </w:tr>
      <w:tr>
        <w:trPr>
          <w:trHeight w:val="345" w:hRule="atLeast"/>
        </w:trPr>
        <w:tc>
          <w:tcPr>
            <w:tcW w:w="418"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0"/>
              <w:right w:val="single" w:sz="4" w:space="0" w:color="00000A"/>
            </w:tcBorders>
            <w:shd w:color="auto" w:fill="FFFFFF" w:val="clear"/>
          </w:tcPr>
          <w:p>
            <w:pPr>
              <w:pStyle w:val="NoSpacing"/>
              <w:rPr/>
            </w:pPr>
            <w:r>
              <w:rPr>
                <w:rFonts w:cs="Calibri" w:cstheme="minorHAnsi"/>
              </w:rPr>
              <w:t>1</w:t>
            </w:r>
            <w:r>
              <w:rPr>
                <w:rFonts w:cs="Calibri" w:cstheme="minorHAnsi"/>
                <w:color w:val="00000A"/>
                <w:sz w:val="22"/>
              </w:rPr>
              <w:t>2</w:t>
            </w:r>
            <w:r>
              <w:rPr>
                <w:rFonts w:cs="Calibri" w:cstheme="minorHAnsi"/>
              </w:rPr>
              <w:t>.2 NBR 12.721:2006 os quadros VI,VII e VIII, assinados pelo profissional responsável e pelo proprietário, com firmas reconhecidas.</w:t>
            </w:r>
          </w:p>
        </w:tc>
        <w:tc>
          <w:tcPr>
            <w:tcW w:w="1920" w:type="dxa"/>
            <w:tcBorders>
              <w:top w:val="single" w:sz="4" w:space="0" w:color="00000A"/>
              <w:left w:val="single" w:sz="4" w:space="0" w:color="00000A"/>
              <w:bottom w:val="single" w:sz="4" w:space="0" w:color="000000"/>
              <w:right w:val="single" w:sz="4" w:space="0" w:color="00000A"/>
            </w:tcBorders>
            <w:shd w:color="auto" w:fill="FFFFFF" w:val="clear"/>
          </w:tcPr>
          <w:p>
            <w:pPr>
              <w:pStyle w:val="NoSpacing"/>
              <w:ind w:left="-35" w:right="-78" w:hanging="0"/>
              <w:jc w:val="both"/>
              <w:rPr/>
            </w:pPr>
            <w:r>
              <w:rPr>
                <w:rFonts w:cs="Calibri" w:cstheme="minorHAnsi"/>
                <w:sz w:val="18"/>
                <w:szCs w:val="18"/>
              </w:rPr>
              <w:t xml:space="preserve">Art. </w:t>
            </w:r>
            <w:r>
              <w:rPr>
                <w:rFonts w:eastAsia="Calibri" w:cs="Calibri" w:cstheme="minorHAnsi"/>
                <w:color w:val="00000A"/>
                <w:kern w:val="0"/>
                <w:sz w:val="18"/>
                <w:szCs w:val="18"/>
                <w:lang w:val="pt-BR" w:eastAsia="en-US" w:bidi="ar-SA"/>
              </w:rPr>
              <w:t xml:space="preserve">1.059.VII </w:t>
            </w:r>
            <w:r>
              <w:rPr>
                <w:rFonts w:cs="Calibri" w:cstheme="minorHAnsi"/>
                <w:sz w:val="18"/>
                <w:szCs w:val="18"/>
              </w:rPr>
              <w:t>Prov.</w:t>
            </w:r>
            <w:r>
              <w:rPr>
                <w:rFonts w:eastAsia="Calibri" w:cs="Calibri" w:cstheme="minorHAnsi"/>
                <w:color w:val="00000A"/>
                <w:kern w:val="0"/>
                <w:sz w:val="18"/>
                <w:szCs w:val="18"/>
                <w:lang w:val="pt-BR" w:eastAsia="en-US" w:bidi="ar-SA"/>
              </w:rPr>
              <w:t>93/20</w:t>
            </w:r>
            <w:r>
              <w:rPr>
                <w:rFonts w:cs="Calibri" w:cstheme="minorHAnsi"/>
                <w:sz w:val="18"/>
                <w:szCs w:val="18"/>
              </w:rPr>
              <w:t xml:space="preserve"> Art. 32, “e”, “g”, “h” e “i”, da Lei nº 4.591/64 </w:t>
            </w:r>
          </w:p>
        </w:tc>
        <w:tc>
          <w:tcPr>
            <w:tcW w:w="5411" w:type="dxa"/>
            <w:tcBorders>
              <w:top w:val="single" w:sz="4" w:space="0" w:color="00000A"/>
              <w:left w:val="single" w:sz="4" w:space="0" w:color="00000A"/>
              <w:bottom w:val="single" w:sz="4" w:space="0" w:color="000000"/>
              <w:right w:val="single" w:sz="4" w:space="0" w:color="00000A"/>
            </w:tcBorders>
            <w:shd w:color="auto" w:fill="FFFFFF" w:val="clear"/>
          </w:tcPr>
          <w:p>
            <w:pPr>
              <w:pStyle w:val="Corpodotexto"/>
              <w:spacing w:lineRule="auto" w:line="240" w:before="0" w:after="0"/>
              <w:rPr>
                <w:rStyle w:val="LinkdaInternet"/>
                <w:rFonts w:ascii="Calibri" w:hAnsi="Calibri" w:cs="Calibri" w:asciiTheme="minorHAnsi" w:cstheme="minorHAnsi" w:hAnsiTheme="minorHAnsi"/>
                <w:color w:val="000000"/>
                <w:sz w:val="20"/>
                <w:szCs w:val="20"/>
                <w:u w:val="none"/>
              </w:rPr>
            </w:pPr>
            <w:r>
              <w:rPr>
                <w:rFonts w:cs="Calibri" w:cstheme="minorHAnsi"/>
                <w:sz w:val="20"/>
                <w:szCs w:val="20"/>
              </w:rPr>
              <w:t>Responsável técnico</w:t>
            </w:r>
          </w:p>
        </w:tc>
      </w:tr>
      <w:tr>
        <w:trPr>
          <w:trHeight w:val="485" w:hRule="atLeast"/>
        </w:trPr>
        <w:tc>
          <w:tcPr>
            <w:tcW w:w="418"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0"/>
              <w:left w:val="single" w:sz="4" w:space="0" w:color="00000A"/>
              <w:bottom w:val="single" w:sz="4" w:space="0" w:color="000000"/>
              <w:right w:val="single" w:sz="4" w:space="0" w:color="00000A"/>
            </w:tcBorders>
            <w:shd w:color="auto" w:fill="FFFFFF" w:val="clear"/>
          </w:tcPr>
          <w:p>
            <w:pPr>
              <w:pStyle w:val="NoSpacing"/>
              <w:rPr/>
            </w:pPr>
            <w:r>
              <w:rPr>
                <w:rFonts w:cs="Calibri" w:cstheme="minorHAnsi"/>
              </w:rPr>
              <w:t>1</w:t>
            </w:r>
            <w:r>
              <w:rPr>
                <w:rFonts w:cs="Calibri" w:cstheme="minorHAnsi"/>
                <w:color w:val="00000A"/>
                <w:sz w:val="22"/>
              </w:rPr>
              <w:t>2</w:t>
            </w:r>
            <w:r>
              <w:rPr>
                <w:rFonts w:cs="Calibri" w:cstheme="minorHAnsi"/>
              </w:rPr>
              <w:t>.3 ART/CREA ou RRT/CAU, relativamente aos quadros da NBR 12.721:2006</w:t>
            </w:r>
          </w:p>
        </w:tc>
        <w:tc>
          <w:tcPr>
            <w:tcW w:w="1920" w:type="dxa"/>
            <w:tcBorders>
              <w:top w:val="single" w:sz="4" w:space="0" w:color="000000"/>
              <w:left w:val="single" w:sz="4" w:space="0" w:color="00000A"/>
              <w:bottom w:val="single" w:sz="4" w:space="0" w:color="000000"/>
              <w:right w:val="single" w:sz="4" w:space="0" w:color="00000A"/>
            </w:tcBorders>
            <w:shd w:color="auto" w:fill="FFFFFF" w:val="clear"/>
          </w:tcPr>
          <w:p>
            <w:pPr>
              <w:pStyle w:val="NoSpacing"/>
              <w:ind w:left="-35" w:right="-78" w:hanging="0"/>
              <w:jc w:val="both"/>
              <w:rPr/>
            </w:pPr>
            <w:r>
              <w:rPr>
                <w:rFonts w:cs="Calibri" w:cstheme="minorHAnsi"/>
                <w:sz w:val="18"/>
                <w:szCs w:val="18"/>
              </w:rPr>
              <w:t xml:space="preserve">Art. </w:t>
            </w:r>
            <w:r>
              <w:rPr>
                <w:rFonts w:eastAsia="Calibri" w:cs="Calibri" w:cstheme="minorHAnsi"/>
                <w:color w:val="00000A"/>
                <w:kern w:val="0"/>
                <w:sz w:val="18"/>
                <w:szCs w:val="18"/>
                <w:lang w:val="pt-BR" w:eastAsia="en-US" w:bidi="ar-SA"/>
              </w:rPr>
              <w:t xml:space="preserve">1.059.VII </w:t>
            </w:r>
            <w:r>
              <w:rPr>
                <w:rFonts w:cs="Calibri" w:cstheme="minorHAnsi"/>
                <w:sz w:val="18"/>
                <w:szCs w:val="18"/>
              </w:rPr>
              <w:t>Prov.</w:t>
            </w:r>
            <w:r>
              <w:rPr>
                <w:rFonts w:eastAsia="Calibri" w:cs="Calibri" w:cstheme="minorHAnsi"/>
                <w:color w:val="00000A"/>
                <w:kern w:val="0"/>
                <w:sz w:val="18"/>
                <w:szCs w:val="18"/>
                <w:lang w:val="pt-BR" w:eastAsia="en-US" w:bidi="ar-SA"/>
              </w:rPr>
              <w:t>93/20</w:t>
            </w:r>
          </w:p>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r>
          </w:p>
        </w:tc>
        <w:tc>
          <w:tcPr>
            <w:tcW w:w="5411" w:type="dxa"/>
            <w:tcBorders>
              <w:top w:val="single" w:sz="4" w:space="0" w:color="000000"/>
              <w:left w:val="single" w:sz="4" w:space="0" w:color="00000A"/>
              <w:bottom w:val="single" w:sz="4" w:space="0" w:color="000000"/>
              <w:right w:val="single" w:sz="4" w:space="0" w:color="00000A"/>
            </w:tcBorders>
            <w:shd w:color="auto" w:fill="FFFFFF" w:val="clear"/>
          </w:tcPr>
          <w:p>
            <w:pPr>
              <w:pStyle w:val="Corpodotexto"/>
              <w:spacing w:lineRule="auto" w:line="240" w:before="0" w:after="0"/>
              <w:rPr>
                <w:rStyle w:val="LinkdaInternet"/>
                <w:rFonts w:ascii="Calibri" w:hAnsi="Calibri" w:cs="Calibri" w:asciiTheme="minorHAnsi" w:cstheme="minorHAnsi" w:hAnsiTheme="minorHAnsi"/>
                <w:color w:val="000000"/>
                <w:sz w:val="20"/>
                <w:szCs w:val="20"/>
                <w:u w:val="none"/>
              </w:rPr>
            </w:pPr>
            <w:r>
              <w:rPr>
                <w:rFonts w:cs="Calibri" w:cstheme="minorHAnsi"/>
                <w:sz w:val="20"/>
                <w:szCs w:val="20"/>
              </w:rPr>
              <w:t>Responsável técnico</w:t>
            </w:r>
          </w:p>
        </w:tc>
      </w:tr>
      <w:tr>
        <w:trPr>
          <w:trHeight w:val="485" w:hRule="atLeast"/>
        </w:trPr>
        <w:tc>
          <w:tcPr>
            <w:tcW w:w="418"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0"/>
              <w:left w:val="single" w:sz="4" w:space="0" w:color="00000A"/>
              <w:bottom w:val="single" w:sz="4" w:space="0" w:color="000000"/>
              <w:right w:val="single" w:sz="4" w:space="0" w:color="00000A"/>
            </w:tcBorders>
            <w:shd w:color="auto" w:fill="FFFFFF" w:val="clear"/>
          </w:tcPr>
          <w:p>
            <w:pPr>
              <w:pStyle w:val="NoSpacing"/>
              <w:rPr/>
            </w:pPr>
            <w:r>
              <w:rPr>
                <w:rFonts w:cs="Calibri" w:cstheme="minorHAnsi"/>
              </w:rPr>
              <w:t>1</w:t>
            </w:r>
            <w:r>
              <w:rPr>
                <w:rFonts w:cs="Calibri" w:cstheme="minorHAnsi"/>
                <w:color w:val="00000A"/>
                <w:sz w:val="22"/>
              </w:rPr>
              <w:t>2</w:t>
            </w:r>
            <w:r>
              <w:rPr>
                <w:rFonts w:cs="Calibri" w:cstheme="minorHAnsi"/>
              </w:rPr>
              <w:t>.4 Atestado De Idoneidade Financeira</w:t>
            </w:r>
            <w:r>
              <w:rPr>
                <w:rStyle w:val="Ncoradanotaderodap"/>
                <w:rFonts w:cs="Calibri" w:cstheme="minorHAnsi"/>
              </w:rPr>
              <w:footnoteReference w:id="4"/>
            </w:r>
          </w:p>
        </w:tc>
        <w:tc>
          <w:tcPr>
            <w:tcW w:w="1920" w:type="dxa"/>
            <w:tcBorders>
              <w:top w:val="single" w:sz="4" w:space="0" w:color="000000"/>
              <w:left w:val="single" w:sz="4" w:space="0" w:color="00000A"/>
              <w:bottom w:val="single" w:sz="4" w:space="0" w:color="000000"/>
              <w:right w:val="single" w:sz="4" w:space="0" w:color="00000A"/>
            </w:tcBorders>
            <w:shd w:color="auto" w:fill="FFFFFF" w:val="clear"/>
          </w:tcPr>
          <w:p>
            <w:pPr>
              <w:pStyle w:val="NoSpacing"/>
              <w:ind w:left="-35" w:right="-78" w:hanging="0"/>
              <w:jc w:val="both"/>
              <w:rPr/>
            </w:pPr>
            <w:r>
              <w:rPr>
                <w:rFonts w:cs="Calibri" w:cstheme="minorHAnsi"/>
                <w:sz w:val="18"/>
                <w:szCs w:val="18"/>
              </w:rPr>
              <w:t xml:space="preserve">Art. </w:t>
            </w:r>
            <w:r>
              <w:rPr>
                <w:rFonts w:eastAsia="Calibri" w:cs="Calibri" w:cstheme="minorHAnsi"/>
                <w:color w:val="00000A"/>
                <w:kern w:val="0"/>
                <w:sz w:val="18"/>
                <w:szCs w:val="18"/>
                <w:lang w:val="pt-BR" w:eastAsia="en-US" w:bidi="ar-SA"/>
              </w:rPr>
              <w:t xml:space="preserve">1.059.X </w:t>
            </w:r>
            <w:r>
              <w:rPr>
                <w:rFonts w:cs="Calibri" w:cstheme="minorHAnsi"/>
                <w:sz w:val="18"/>
                <w:szCs w:val="18"/>
              </w:rPr>
              <w:t>Prov.</w:t>
            </w:r>
            <w:r>
              <w:rPr>
                <w:rFonts w:eastAsia="Calibri" w:cs="Calibri" w:cstheme="minorHAnsi"/>
                <w:color w:val="00000A"/>
                <w:kern w:val="0"/>
                <w:sz w:val="18"/>
                <w:szCs w:val="18"/>
                <w:lang w:val="pt-BR" w:eastAsia="en-US" w:bidi="ar-SA"/>
              </w:rPr>
              <w:t>93/20</w:t>
            </w:r>
          </w:p>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t>Art. 32, “o”, da Lei nº 4.591/1964)</w:t>
            </w:r>
          </w:p>
        </w:tc>
        <w:tc>
          <w:tcPr>
            <w:tcW w:w="5411" w:type="dxa"/>
            <w:tcBorders>
              <w:top w:val="single" w:sz="4" w:space="0" w:color="000000"/>
              <w:left w:val="single" w:sz="4" w:space="0" w:color="00000A"/>
              <w:bottom w:val="single" w:sz="4" w:space="0" w:color="000000"/>
              <w:right w:val="single" w:sz="4" w:space="0" w:color="00000A"/>
            </w:tcBorders>
            <w:shd w:color="auto" w:fill="FFFFFF" w:val="clear"/>
          </w:tcPr>
          <w:p>
            <w:pPr>
              <w:pStyle w:val="Corpodotexto"/>
              <w:spacing w:lineRule="auto" w:line="240" w:before="0" w:after="0"/>
              <w:rPr>
                <w:rFonts w:ascii="Calibri" w:hAnsi="Calibri" w:cs="Calibri" w:asciiTheme="minorHAnsi" w:cstheme="minorHAnsi" w:hAnsiTheme="minorHAnsi"/>
                <w:sz w:val="20"/>
                <w:szCs w:val="20"/>
              </w:rPr>
            </w:pPr>
            <w:r>
              <w:rPr>
                <w:rFonts w:cs="Calibri" w:cstheme="minorHAnsi"/>
                <w:sz w:val="20"/>
                <w:szCs w:val="20"/>
              </w:rPr>
              <w:t>Estabelecimento de crédito que opere no país há mais de 5 (cinco) anos</w:t>
            </w:r>
          </w:p>
        </w:tc>
      </w:tr>
      <w:tr>
        <w:trPr>
          <w:trHeight w:val="510" w:hRule="atLeast"/>
        </w:trPr>
        <w:tc>
          <w:tcPr>
            <w:tcW w:w="418"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0"/>
              <w:left w:val="single" w:sz="4" w:space="0" w:color="00000A"/>
              <w:bottom w:val="single" w:sz="4" w:space="0" w:color="000000"/>
              <w:right w:val="single" w:sz="4" w:space="0" w:color="00000A"/>
            </w:tcBorders>
            <w:shd w:color="auto" w:fill="FFFFFF" w:val="clear"/>
          </w:tcPr>
          <w:p>
            <w:pPr>
              <w:pStyle w:val="NoSpacing"/>
              <w:rPr/>
            </w:pPr>
            <w:r>
              <w:rPr>
                <w:rFonts w:cs="Calibri" w:cstheme="minorHAnsi"/>
              </w:rPr>
              <w:t>1</w:t>
            </w:r>
            <w:r>
              <w:rPr>
                <w:rFonts w:cs="Calibri" w:cstheme="minorHAnsi"/>
                <w:color w:val="00000A"/>
                <w:sz w:val="22"/>
              </w:rPr>
              <w:t>2</w:t>
            </w:r>
            <w:r>
              <w:rPr>
                <w:rFonts w:cs="Calibri" w:cstheme="minorHAnsi"/>
              </w:rPr>
              <w:t>.5 Declaração Do Prazo De Carência</w:t>
            </w:r>
            <w:r>
              <w:rPr>
                <w:rStyle w:val="Ncoradanotaderodap"/>
                <w:rFonts w:cs="Calibri" w:cstheme="minorHAnsi"/>
              </w:rPr>
              <w:footnoteReference w:id="5"/>
            </w:r>
          </w:p>
          <w:p>
            <w:pPr>
              <w:pStyle w:val="NoSpacing"/>
              <w:rPr>
                <w:rFonts w:ascii="Calibri" w:hAnsi="Calibri" w:cs="Calibri" w:asciiTheme="minorHAnsi" w:cstheme="minorHAnsi" w:hAnsiTheme="minorHAnsi"/>
              </w:rPr>
            </w:pPr>
            <w:r>
              <w:rPr>
                <w:rFonts w:cs="Calibri" w:cstheme="minorHAnsi"/>
              </w:rPr>
            </w:r>
          </w:p>
        </w:tc>
        <w:tc>
          <w:tcPr>
            <w:tcW w:w="1920" w:type="dxa"/>
            <w:tcBorders>
              <w:top w:val="single" w:sz="4" w:space="0" w:color="000000"/>
              <w:left w:val="single" w:sz="4" w:space="0" w:color="00000A"/>
              <w:bottom w:val="single" w:sz="4" w:space="0" w:color="000000"/>
              <w:right w:val="single" w:sz="4" w:space="0" w:color="00000A"/>
            </w:tcBorders>
            <w:shd w:color="auto" w:fill="FFFFFF" w:val="clear"/>
          </w:tcPr>
          <w:p>
            <w:pPr>
              <w:pStyle w:val="NoSpacing"/>
              <w:ind w:left="-35" w:right="-78" w:hanging="0"/>
              <w:jc w:val="both"/>
              <w:rPr/>
            </w:pPr>
            <w:r>
              <w:rPr>
                <w:rFonts w:cs="Calibri" w:cstheme="minorHAnsi"/>
                <w:sz w:val="18"/>
                <w:szCs w:val="18"/>
              </w:rPr>
              <w:t xml:space="preserve">Art. </w:t>
            </w:r>
            <w:r>
              <w:rPr>
                <w:rFonts w:eastAsia="Calibri" w:cs="Calibri" w:cstheme="minorHAnsi"/>
                <w:color w:val="00000A"/>
                <w:kern w:val="0"/>
                <w:sz w:val="18"/>
                <w:szCs w:val="18"/>
                <w:lang w:val="pt-BR" w:eastAsia="en-US" w:bidi="ar-SA"/>
              </w:rPr>
              <w:t xml:space="preserve">1.059.XV </w:t>
            </w:r>
            <w:r>
              <w:rPr>
                <w:rFonts w:cs="Calibri" w:cstheme="minorHAnsi"/>
                <w:sz w:val="18"/>
                <w:szCs w:val="18"/>
              </w:rPr>
              <w:t>Prov.</w:t>
            </w:r>
            <w:r>
              <w:rPr>
                <w:rFonts w:eastAsia="Calibri" w:cs="Calibri" w:cstheme="minorHAnsi"/>
                <w:color w:val="00000A"/>
                <w:kern w:val="0"/>
                <w:sz w:val="18"/>
                <w:szCs w:val="18"/>
                <w:lang w:val="pt-BR" w:eastAsia="en-US" w:bidi="ar-SA"/>
              </w:rPr>
              <w:t>93/20</w:t>
            </w:r>
          </w:p>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t>Art. 32, “n”, da</w:t>
            </w:r>
          </w:p>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t>Lei nº 4.591/1964</w:t>
            </w:r>
          </w:p>
        </w:tc>
        <w:tc>
          <w:tcPr>
            <w:tcW w:w="5411" w:type="dxa"/>
            <w:tcBorders>
              <w:top w:val="single" w:sz="4" w:space="0" w:color="000000"/>
              <w:left w:val="single" w:sz="4" w:space="0" w:color="00000A"/>
              <w:bottom w:val="single" w:sz="4" w:space="0" w:color="000000"/>
              <w:right w:val="single" w:sz="4" w:space="0" w:color="00000A"/>
            </w:tcBorders>
            <w:shd w:color="auto" w:fill="FFFFFF" w:val="clear"/>
          </w:tcPr>
          <w:p>
            <w:pPr>
              <w:pStyle w:val="Corpodotexto"/>
              <w:spacing w:lineRule="auto" w:line="240" w:before="0" w:after="0"/>
              <w:rPr>
                <w:rFonts w:ascii="Calibri" w:hAnsi="Calibri" w:cs="Calibri" w:asciiTheme="minorHAnsi" w:cstheme="minorHAnsi" w:hAnsiTheme="minorHAnsi"/>
                <w:sz w:val="20"/>
                <w:szCs w:val="20"/>
              </w:rPr>
            </w:pPr>
            <w:r>
              <w:rPr>
                <w:rFonts w:cs="Calibri" w:cstheme="minorHAnsi"/>
                <w:sz w:val="20"/>
                <w:szCs w:val="20"/>
              </w:rPr>
              <w:t>Empreendedor</w:t>
            </w:r>
          </w:p>
        </w:tc>
      </w:tr>
      <w:tr>
        <w:trPr>
          <w:trHeight w:val="420" w:hRule="atLeast"/>
        </w:trPr>
        <w:tc>
          <w:tcPr>
            <w:tcW w:w="418"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0"/>
              <w:left w:val="single" w:sz="4" w:space="0" w:color="00000A"/>
              <w:bottom w:val="single" w:sz="4" w:space="0" w:color="000000"/>
              <w:right w:val="single" w:sz="4" w:space="0" w:color="00000A"/>
            </w:tcBorders>
            <w:shd w:color="auto" w:fill="FFFFFF" w:val="clear"/>
          </w:tcPr>
          <w:p>
            <w:pPr>
              <w:pStyle w:val="NoSpacing"/>
              <w:rPr/>
            </w:pPr>
            <w:r>
              <w:rPr>
                <w:rFonts w:cs="Calibri" w:cstheme="minorHAnsi"/>
              </w:rPr>
              <w:t>1</w:t>
            </w:r>
            <w:r>
              <w:rPr>
                <w:rFonts w:cs="Calibri" w:cstheme="minorHAnsi"/>
                <w:color w:val="00000A"/>
                <w:sz w:val="22"/>
              </w:rPr>
              <w:t>2</w:t>
            </w:r>
            <w:r>
              <w:rPr>
                <w:rFonts w:cs="Calibri" w:cstheme="minorHAnsi"/>
              </w:rPr>
              <w:t>.6 Certidão negativa de débito para com o INSS</w:t>
            </w:r>
            <w:r>
              <w:rPr>
                <w:rStyle w:val="Ncoradanotaderodap"/>
                <w:rFonts w:cs="Calibri" w:cstheme="minorHAnsi"/>
              </w:rPr>
              <w:footnoteReference w:id="6"/>
            </w:r>
          </w:p>
        </w:tc>
        <w:tc>
          <w:tcPr>
            <w:tcW w:w="1920" w:type="dxa"/>
            <w:tcBorders>
              <w:top w:val="single" w:sz="4" w:space="0" w:color="000000"/>
              <w:left w:val="single" w:sz="4" w:space="0" w:color="00000A"/>
              <w:bottom w:val="single" w:sz="4" w:space="0" w:color="000000"/>
              <w:right w:val="single" w:sz="4" w:space="0" w:color="00000A"/>
            </w:tcBorders>
            <w:shd w:color="auto" w:fill="FFFFFF" w:val="clear"/>
          </w:tcPr>
          <w:p>
            <w:pPr>
              <w:pStyle w:val="NoSpacing"/>
              <w:ind w:left="-35" w:right="-78" w:hanging="0"/>
              <w:jc w:val="both"/>
              <w:rPr/>
            </w:pPr>
            <w:r>
              <w:rPr>
                <w:rFonts w:cs="Calibri" w:cstheme="minorHAnsi"/>
                <w:sz w:val="18"/>
                <w:szCs w:val="18"/>
              </w:rPr>
              <w:t>art. 32, “f”, da Lei nº</w:t>
            </w:r>
          </w:p>
          <w:p>
            <w:pPr>
              <w:pStyle w:val="NoSpacing"/>
              <w:ind w:left="-35" w:right="-78" w:hanging="0"/>
              <w:jc w:val="both"/>
              <w:rPr/>
            </w:pPr>
            <w:r>
              <w:rPr>
                <w:rFonts w:cs="Calibri" w:cstheme="minorHAnsi"/>
                <w:sz w:val="18"/>
                <w:szCs w:val="18"/>
              </w:rPr>
              <w:t>4.591/1964</w:t>
            </w:r>
          </w:p>
        </w:tc>
        <w:tc>
          <w:tcPr>
            <w:tcW w:w="5411" w:type="dxa"/>
            <w:tcBorders>
              <w:top w:val="single" w:sz="4" w:space="0" w:color="000000"/>
              <w:left w:val="single" w:sz="4" w:space="0" w:color="00000A"/>
              <w:bottom w:val="single" w:sz="4" w:space="0" w:color="000000"/>
              <w:right w:val="single" w:sz="4" w:space="0" w:color="00000A"/>
            </w:tcBorders>
            <w:shd w:color="auto" w:fill="FFFFFF" w:val="clear"/>
          </w:tcPr>
          <w:p>
            <w:pPr>
              <w:pStyle w:val="Corpodotexto"/>
              <w:spacing w:lineRule="auto" w:line="240" w:before="0" w:after="0"/>
              <w:rPr/>
            </w:pPr>
            <w:hyperlink r:id="rId9">
              <w:r>
                <w:rPr>
                  <w:rStyle w:val="LinkdaInternet"/>
                  <w:rFonts w:cs="Calibri" w:cstheme="minorHAnsi"/>
                  <w:sz w:val="20"/>
                  <w:szCs w:val="20"/>
                </w:rPr>
                <w:t>http://servicos.receita.fazenda.gov.br/Servicos/certidao/cndconjuntainter/informanicertidao.asp?tipo=1</w:t>
              </w:r>
            </w:hyperlink>
            <w:r>
              <w:rPr>
                <w:rFonts w:cs="Calibri" w:cstheme="minorHAnsi"/>
                <w:sz w:val="20"/>
                <w:szCs w:val="20"/>
              </w:rPr>
              <w:t xml:space="preserve"> Empreendedor / contador</w:t>
            </w:r>
          </w:p>
        </w:tc>
      </w:tr>
      <w:tr>
        <w:trPr>
          <w:trHeight w:val="420" w:hRule="atLeast"/>
        </w:trPr>
        <w:tc>
          <w:tcPr>
            <w:tcW w:w="418" w:type="dxa"/>
            <w:vMerge w:val="continue"/>
            <w:tcBorders>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left w:val="single" w:sz="4" w:space="0" w:color="00000A"/>
              <w:bottom w:val="single" w:sz="4" w:space="0" w:color="000000"/>
              <w:right w:val="single" w:sz="4" w:space="0" w:color="00000A"/>
            </w:tcBorders>
            <w:shd w:color="auto" w:fill="FFFFFF" w:val="clear"/>
          </w:tcPr>
          <w:p>
            <w:pPr>
              <w:pStyle w:val="NoSpacing"/>
              <w:rPr/>
            </w:pPr>
            <w:r>
              <w:rPr/>
              <w:t>1</w:t>
            </w:r>
            <w:r>
              <w:rPr>
                <w:color w:val="00000A"/>
                <w:sz w:val="22"/>
              </w:rPr>
              <w:t>2</w:t>
            </w:r>
            <w:r>
              <w:rPr/>
              <w:t>.7 Certidão do valor venal do imóvel</w:t>
            </w:r>
          </w:p>
        </w:tc>
        <w:tc>
          <w:tcPr>
            <w:tcW w:w="1920" w:type="dxa"/>
            <w:tcBorders>
              <w:left w:val="single" w:sz="4" w:space="0" w:color="00000A"/>
              <w:bottom w:val="single" w:sz="4" w:space="0" w:color="000000"/>
              <w:right w:val="single" w:sz="4" w:space="0" w:color="00000A"/>
            </w:tcBorders>
            <w:shd w:color="auto" w:fill="FFFFFF" w:val="clear"/>
          </w:tcPr>
          <w:p>
            <w:pPr>
              <w:pStyle w:val="NoSpacing"/>
              <w:ind w:left="-35" w:right="-78" w:hanging="0"/>
              <w:jc w:val="both"/>
              <w:rPr/>
            </w:pPr>
            <w:r>
              <w:rPr>
                <w:rFonts w:cs="Times New Roman"/>
                <w:sz w:val="18"/>
                <w:szCs w:val="18"/>
              </w:rPr>
              <w:t>Art.10, I Lei 15.424 MG</w:t>
            </w:r>
          </w:p>
        </w:tc>
        <w:tc>
          <w:tcPr>
            <w:tcW w:w="5411" w:type="dxa"/>
            <w:tcBorders>
              <w:left w:val="single" w:sz="4" w:space="0" w:color="00000A"/>
              <w:bottom w:val="single" w:sz="4" w:space="0" w:color="000000"/>
              <w:right w:val="single" w:sz="4" w:space="0" w:color="00000A"/>
            </w:tcBorders>
            <w:shd w:color="auto" w:fill="FFFFFF" w:val="clear"/>
          </w:tcPr>
          <w:p>
            <w:pPr>
              <w:pStyle w:val="Corpodotexto"/>
              <w:spacing w:lineRule="auto" w:line="240" w:before="0" w:after="0"/>
              <w:rPr/>
            </w:pPr>
            <w:r>
              <w:rPr>
                <w:rFonts w:cs="Times New Roman"/>
                <w:sz w:val="18"/>
                <w:szCs w:val="18"/>
              </w:rPr>
              <w:t>Prefeitura Municipal (Praça Getúlio Vargas, 18, Centro - S.A.Monte)</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 xml:space="preserve">Certidões </w:t>
            </w:r>
            <w:r>
              <w:rPr>
                <w:rFonts w:cs="Calibri" w:cstheme="minorHAnsi"/>
                <w:b/>
              </w:rPr>
              <w:t>negativas</w:t>
            </w:r>
            <w:r>
              <w:rPr>
                <w:rFonts w:cs="Calibri" w:cstheme="minorHAnsi"/>
              </w:rPr>
              <w:t xml:space="preserve"> tributos </w:t>
            </w:r>
            <w:r>
              <w:rPr>
                <w:rFonts w:cs="Calibri" w:cstheme="minorHAnsi"/>
                <w:u w:val="single"/>
              </w:rPr>
              <w:t>federais</w:t>
            </w:r>
            <w:r>
              <w:rPr>
                <w:rFonts w:cs="Calibri" w:cstheme="minorHAnsi"/>
              </w:rPr>
              <w:t>, incidentes sobre o imóvel.</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Calibri" w:cstheme="minorHAnsi"/>
                <w:sz w:val="18"/>
                <w:szCs w:val="18"/>
              </w:rPr>
              <w:t>Art. 18, III, “a”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996, III, a</w:t>
            </w:r>
            <w:r>
              <w:rPr>
                <w:rFonts w:cs="Times New Roman"/>
                <w:sz w:val="18"/>
                <w:szCs w:val="18"/>
              </w:rPr>
              <w:t xml:space="preserve"> Prov.</w:t>
            </w:r>
            <w:r>
              <w:rPr>
                <w:rFonts w:cs="Times New Roman"/>
                <w:color w:val="00000A"/>
                <w:sz w:val="18"/>
                <w:szCs w:val="18"/>
              </w:rPr>
              <w:t>93</w:t>
            </w:r>
            <w:r>
              <w:rPr>
                <w:rFonts w:cs="Times New Roman"/>
                <w:sz w:val="18"/>
                <w:szCs w:val="18"/>
              </w:rPr>
              <w:t>.</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10">
              <w:r>
                <w:rPr>
                  <w:rStyle w:val="LinkdaInternet"/>
                  <w:rFonts w:cs="Calibri" w:cstheme="minorHAnsi"/>
                  <w:sz w:val="20"/>
                  <w:szCs w:val="20"/>
                </w:rPr>
                <w:t>http://www.receita.fazenda.gov.br/Grupo2/Certidoes.htm</w:t>
              </w:r>
            </w:hyperlink>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 xml:space="preserve">Certidões </w:t>
            </w:r>
            <w:r>
              <w:rPr>
                <w:rFonts w:cs="Calibri" w:cstheme="minorHAnsi"/>
                <w:b/>
              </w:rPr>
              <w:t>negativas</w:t>
            </w:r>
            <w:r>
              <w:rPr>
                <w:rFonts w:cs="Calibri" w:cstheme="minorHAnsi"/>
              </w:rPr>
              <w:t xml:space="preserve"> tributos </w:t>
            </w:r>
            <w:r>
              <w:rPr>
                <w:rFonts w:cs="Calibri" w:cstheme="minorHAnsi"/>
                <w:u w:val="single"/>
              </w:rPr>
              <w:t>estaduais</w:t>
            </w:r>
            <w:r>
              <w:rPr>
                <w:rFonts w:cs="Calibri" w:cstheme="minorHAnsi"/>
              </w:rPr>
              <w:t xml:space="preserve">, incidentes sobre o imóvel. </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Calibri" w:cstheme="minorHAnsi"/>
                <w:sz w:val="18"/>
                <w:szCs w:val="18"/>
              </w:rPr>
              <w:t>Art. 18, III, “a”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996, III, a</w:t>
            </w:r>
            <w:r>
              <w:rPr>
                <w:rFonts w:cs="Times New Roman"/>
                <w:sz w:val="18"/>
                <w:szCs w:val="18"/>
              </w:rPr>
              <w:t xml:space="preserve"> Prov.</w:t>
            </w:r>
            <w:r>
              <w:rPr>
                <w:rFonts w:cs="Times New Roman"/>
                <w:color w:val="00000A"/>
                <w:sz w:val="18"/>
                <w:szCs w:val="18"/>
              </w:rPr>
              <w:t>93</w:t>
            </w:r>
            <w:r>
              <w:rPr>
                <w:rFonts w:cs="Times New Roman"/>
                <w:sz w:val="18"/>
                <w:szCs w:val="18"/>
              </w:rPr>
              <w:t>.</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11">
              <w:r>
                <w:rPr>
                  <w:rStyle w:val="LinkdaInternet"/>
                  <w:rFonts w:cs="Calibri" w:cstheme="minorHAnsi"/>
                  <w:sz w:val="20"/>
                  <w:szCs w:val="20"/>
                </w:rPr>
                <w:t>http://www.fazenda.mg.gov.br/empresas/certidao_debitos/</w:t>
              </w:r>
            </w:hyperlink>
            <w:r>
              <w:rPr>
                <w:rFonts w:cs="Calibri" w:cstheme="minorHAnsi"/>
                <w:sz w:val="20"/>
                <w:szCs w:val="20"/>
              </w:rPr>
              <w:t xml:space="preserve"> </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 xml:space="preserve">Certidões </w:t>
            </w:r>
            <w:r>
              <w:rPr>
                <w:rFonts w:cs="Calibri" w:cstheme="minorHAnsi"/>
                <w:b/>
              </w:rPr>
              <w:t>negativas</w:t>
            </w:r>
            <w:r>
              <w:rPr>
                <w:rFonts w:cs="Calibri" w:cstheme="minorHAnsi"/>
              </w:rPr>
              <w:t xml:space="preserve"> tributos </w:t>
            </w:r>
            <w:r>
              <w:rPr>
                <w:rFonts w:cs="Calibri" w:cstheme="minorHAnsi"/>
                <w:u w:val="single"/>
              </w:rPr>
              <w:t>municipais</w:t>
            </w:r>
            <w:r>
              <w:rPr>
                <w:rFonts w:cs="Calibri" w:cstheme="minorHAnsi"/>
              </w:rPr>
              <w:t>, incidentes sobre o imóvel e sobre o contribuinte.</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Calibri" w:cstheme="minorHAnsi"/>
                <w:sz w:val="18"/>
                <w:szCs w:val="18"/>
              </w:rPr>
              <w:t>Art. 18, III, “a”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996, III, a</w:t>
            </w:r>
            <w:r>
              <w:rPr>
                <w:rFonts w:cs="Times New Roman"/>
                <w:sz w:val="18"/>
                <w:szCs w:val="18"/>
              </w:rPr>
              <w:t xml:space="preserve"> Prov.</w:t>
            </w:r>
            <w:r>
              <w:rPr>
                <w:rFonts w:cs="Times New Roman"/>
                <w:color w:val="00000A"/>
                <w:sz w:val="18"/>
                <w:szCs w:val="18"/>
              </w:rPr>
              <w:t>93</w:t>
            </w:r>
            <w:r>
              <w:rPr>
                <w:rFonts w:cs="Times New Roman"/>
                <w:sz w:val="18"/>
                <w:szCs w:val="18"/>
              </w:rPr>
              <w:t>.</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sz w:val="20"/>
                <w:szCs w:val="20"/>
              </w:rPr>
            </w:pPr>
            <w:r>
              <w:rPr>
                <w:rFonts w:cs="Calibri" w:cstheme="minorHAnsi"/>
                <w:sz w:val="20"/>
                <w:szCs w:val="20"/>
              </w:rPr>
              <w:t>Prefeitura Municipal (Praça Getúlio Vargas, 18, Centro - S.A.Monte)</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 xml:space="preserve">Certidões </w:t>
            </w:r>
            <w:r>
              <w:rPr>
                <w:rFonts w:cs="Calibri" w:cstheme="minorHAnsi"/>
                <w:b/>
              </w:rPr>
              <w:t>negativas</w:t>
            </w:r>
            <w:r>
              <w:rPr>
                <w:rFonts w:cs="Calibri" w:cstheme="minorHAnsi"/>
              </w:rPr>
              <w:t xml:space="preserve"> de ações reais referentes ao imóvel, pelo período de 10 (dez) anos </w:t>
            </w:r>
            <w:r>
              <w:rPr>
                <w:rStyle w:val="Ncoradanotaderodap"/>
                <w:rFonts w:cs="Calibri" w:cstheme="minorHAnsi"/>
              </w:rPr>
              <w:footnoteReference w:id="7"/>
            </w:r>
            <w:r>
              <w:rPr>
                <w:rFonts w:cs="Calibri" w:cstheme="minorHAnsi"/>
              </w:rPr>
              <w:t xml:space="preserve">, não expedidas há mais de 3 (três) meses. </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ascii="Calibri" w:hAnsi="Calibri" w:cs="Calibri" w:asciiTheme="minorHAnsi" w:cstheme="minorHAnsi" w:hAnsiTheme="minorHAnsi"/>
                <w:sz w:val="18"/>
                <w:szCs w:val="18"/>
                <w:lang w:val="en-US"/>
              </w:rPr>
            </w:pPr>
            <w:r>
              <w:rPr>
                <w:rFonts w:cs="Calibri" w:cstheme="minorHAnsi"/>
                <w:sz w:val="18"/>
                <w:szCs w:val="18"/>
                <w:lang w:val="en-US"/>
              </w:rPr>
              <w:t>Art. 18, III, “b” Lei 6.766</w:t>
            </w:r>
          </w:p>
          <w:p>
            <w:pPr>
              <w:pStyle w:val="NoSpacing"/>
              <w:ind w:left="-35" w:right="-78" w:hanging="0"/>
              <w:jc w:val="both"/>
              <w:rPr/>
            </w:pPr>
            <w:r>
              <w:rPr>
                <w:rFonts w:eastAsia="Calibri" w:cs="Times New Roman"/>
                <w:color w:val="00000A"/>
                <w:kern w:val="0"/>
                <w:sz w:val="18"/>
                <w:szCs w:val="18"/>
                <w:lang w:val="en-US" w:eastAsia="en-US" w:bidi="ar-SA"/>
              </w:rPr>
              <w:t>§1° Art. 1.002, Prov.93</w:t>
            </w:r>
            <w:r>
              <w:rPr>
                <w:rFonts w:cs="Times New Roman"/>
                <w:sz w:val="18"/>
                <w:szCs w:val="18"/>
                <w:lang w:val="en-US"/>
              </w:rPr>
              <w:t xml:space="preserve"> </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sz w:val="20"/>
                <w:szCs w:val="20"/>
              </w:rPr>
            </w:pPr>
            <w:r>
              <w:rPr>
                <w:rFonts w:cs="Calibri" w:cstheme="minorHAnsi"/>
                <w:sz w:val="20"/>
                <w:szCs w:val="20"/>
              </w:rPr>
              <w:t>Secretaria Judicial - fórum (Praça Getúlio Vargas, 39 – S.A.Monte)</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 xml:space="preserve">Certidões </w:t>
            </w:r>
            <w:r>
              <w:rPr>
                <w:rFonts w:cs="Calibri" w:cstheme="minorHAnsi"/>
                <w:b/>
              </w:rPr>
              <w:t>negativas</w:t>
            </w:r>
            <w:r>
              <w:rPr>
                <w:rFonts w:cs="Calibri" w:cstheme="minorHAnsi"/>
              </w:rPr>
              <w:t xml:space="preserve"> de ações penais com respeito ao crime contra o patrimônio e contra a Administração Pública, Justiça Comum, Federal e Militar, não expedidas há mais de 3 (três) meses. </w:t>
            </w:r>
            <w:r>
              <w:rPr>
                <w:rStyle w:val="Ncoradanotaderodap"/>
                <w:rFonts w:cs="Calibri" w:cstheme="minorHAnsi"/>
              </w:rPr>
              <w:footnoteReference w:id="8"/>
            </w:r>
            <w:r>
              <w:rPr>
                <w:rFonts w:cs="Calibri" w:cstheme="minorHAnsi"/>
              </w:rPr>
              <w:t xml:space="preserve"> </w:t>
            </w:r>
            <w:r>
              <w:rPr>
                <w:rStyle w:val="Ncoradanotaderodap"/>
                <w:rFonts w:cs="Calibri" w:cstheme="minorHAnsi"/>
              </w:rPr>
              <w:footnoteReference w:id="9"/>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ascii="Calibri" w:hAnsi="Calibri" w:cs="Calibri" w:asciiTheme="minorHAnsi" w:cstheme="minorHAnsi" w:hAnsiTheme="minorHAnsi"/>
                <w:sz w:val="18"/>
                <w:szCs w:val="18"/>
                <w:lang w:val="en-US"/>
              </w:rPr>
            </w:pPr>
            <w:r>
              <w:rPr>
                <w:rFonts w:cs="Calibri" w:cstheme="minorHAnsi"/>
                <w:sz w:val="18"/>
                <w:szCs w:val="18"/>
                <w:lang w:val="en-US"/>
              </w:rPr>
              <w:t>Art. 18, III, “c” Lei 6.766</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996, III, b</w:t>
            </w:r>
            <w:r>
              <w:rPr>
                <w:rFonts w:cs="Times New Roman"/>
                <w:sz w:val="18"/>
                <w:szCs w:val="18"/>
                <w:lang w:val="en-US"/>
              </w:rPr>
              <w:t xml:space="preserve"> Prov.</w:t>
            </w:r>
            <w:r>
              <w:rPr>
                <w:rFonts w:cs="Times New Roman"/>
                <w:color w:val="00000A"/>
                <w:sz w:val="18"/>
                <w:szCs w:val="18"/>
                <w:lang w:val="en-US"/>
              </w:rPr>
              <w:t>93</w:t>
            </w:r>
            <w:r>
              <w:rPr>
                <w:rFonts w:cs="Times New Roman"/>
                <w:sz w:val="18"/>
                <w:szCs w:val="18"/>
                <w:lang w:val="en-US"/>
              </w:rPr>
              <w:t>.</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Secretaria Judicial - fórum (Praça Getúlio Vargas, 39 – S.A.Monte)</w:t>
            </w:r>
          </w:p>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Capital do Estado (foro privilegiado)</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 xml:space="preserve">Certidões dos cartórios de protestos de títulos, em nome do loteador, pelo período de 10 (dez) anos, não expedidas há mais de 3 (três) meses. </w:t>
            </w:r>
            <w:r>
              <w:rPr>
                <w:rStyle w:val="Ncoradanotaderodap"/>
                <w:rFonts w:cs="Calibri" w:cstheme="minorHAnsi"/>
              </w:rPr>
              <w:footnoteReference w:id="10"/>
            </w:r>
            <w:r>
              <w:rPr>
                <w:rFonts w:cs="Calibri" w:cstheme="minorHAnsi"/>
              </w:rPr>
              <w:t xml:space="preserve"> </w:t>
            </w:r>
            <w:r>
              <w:rPr>
                <w:rStyle w:val="Ncoradanotaderodap"/>
                <w:rFonts w:cs="Calibri" w:cstheme="minorHAnsi"/>
              </w:rPr>
              <w:footnoteReference w:id="11"/>
            </w:r>
            <w:r>
              <w:rPr>
                <w:rFonts w:cs="Calibri" w:cstheme="minorHAnsi"/>
              </w:rPr>
              <w:t xml:space="preserve"> </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ascii="Calibri" w:hAnsi="Calibri" w:cs="Calibri" w:asciiTheme="minorHAnsi" w:cstheme="minorHAnsi" w:hAnsiTheme="minorHAnsi"/>
                <w:sz w:val="18"/>
                <w:szCs w:val="18"/>
                <w:lang w:val="en-US"/>
              </w:rPr>
            </w:pPr>
            <w:r>
              <w:rPr>
                <w:rFonts w:cs="Calibri" w:cstheme="minorHAnsi"/>
                <w:sz w:val="18"/>
                <w:szCs w:val="18"/>
                <w:lang w:val="en-US"/>
              </w:rPr>
              <w:t>Art. 18, IV, “a” Lei 6.766</w:t>
            </w:r>
          </w:p>
          <w:p>
            <w:pPr>
              <w:pStyle w:val="NoSpacing"/>
              <w:ind w:left="-35" w:right="-78" w:hanging="0"/>
              <w:jc w:val="both"/>
              <w:rPr/>
            </w:pPr>
            <w:r>
              <w:rPr>
                <w:rFonts w:cs="Calibri" w:cstheme="minorHAnsi"/>
                <w:sz w:val="18"/>
                <w:szCs w:val="18"/>
              </w:rPr>
              <w:t>Art. 32, “b”, da Lei nº 4.591/64</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 xml:space="preserve">996, </w:t>
            </w:r>
            <w:r>
              <w:rPr>
                <w:rFonts w:eastAsia="Calibri" w:cs="Times New Roman"/>
                <w:color w:val="00000A"/>
                <w:kern w:val="0"/>
                <w:sz w:val="18"/>
                <w:szCs w:val="18"/>
                <w:lang w:val="en-US" w:eastAsia="en-US" w:bidi="ar-SA"/>
              </w:rPr>
              <w:t>IV</w:t>
            </w:r>
            <w:r>
              <w:rPr>
                <w:rFonts w:cs="Times New Roman"/>
                <w:color w:val="00000A"/>
                <w:sz w:val="18"/>
                <w:szCs w:val="18"/>
                <w:lang w:val="en-US"/>
              </w:rPr>
              <w:t>, b</w:t>
            </w:r>
            <w:r>
              <w:rPr>
                <w:rFonts w:cs="Times New Roman"/>
                <w:sz w:val="18"/>
                <w:szCs w:val="18"/>
                <w:lang w:val="en-US"/>
              </w:rPr>
              <w:t xml:space="preserve"> Prov.</w:t>
            </w:r>
            <w:r>
              <w:rPr>
                <w:rFonts w:cs="Times New Roman"/>
                <w:color w:val="00000A"/>
                <w:sz w:val="18"/>
                <w:szCs w:val="18"/>
                <w:lang w:val="en-US"/>
              </w:rPr>
              <w:t>93</w:t>
            </w:r>
            <w:r>
              <w:rPr>
                <w:rFonts w:cs="Times New Roman"/>
                <w:sz w:val="18"/>
                <w:szCs w:val="18"/>
                <w:lang w:val="en-US"/>
              </w:rPr>
              <w:t>.</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40" w:before="0" w:after="0"/>
              <w:rPr>
                <w:rFonts w:ascii="Calibri" w:hAnsi="Calibri" w:cs="Calibri" w:asciiTheme="minorHAnsi" w:cstheme="minorHAnsi" w:hAnsiTheme="minorHAnsi"/>
                <w:sz w:val="20"/>
                <w:szCs w:val="20"/>
              </w:rPr>
            </w:pPr>
            <w:r>
              <w:rPr>
                <w:rFonts w:cs="Calibri" w:cstheme="minorHAnsi"/>
                <w:sz w:val="20"/>
                <w:szCs w:val="20"/>
              </w:rPr>
              <w:t>Cartórios de Protestos de Títulos (Rua Getúlio Vargas, n° 77 – Sala 307, Centro, S.A.Monte)</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 xml:space="preserve">Certidões de feitos da Justiça Estadual (cíveis e criminal) – 1ª Instância,  relativas ao loteador, pelo período de 10 (dez) anos, não expedidas há mais de 3 (três) meses. </w:t>
            </w:r>
            <w:r>
              <w:rPr>
                <w:rStyle w:val="Ncoradanotaderodap"/>
                <w:rFonts w:cs="Calibri" w:cstheme="minorHAnsi"/>
              </w:rPr>
              <w:footnoteReference w:id="12"/>
            </w:r>
            <w:r>
              <w:rPr>
                <w:rFonts w:cs="Calibri" w:cstheme="minorHAnsi"/>
              </w:rPr>
              <w:t xml:space="preserve"> </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ascii="Calibri" w:hAnsi="Calibri" w:cs="Calibri" w:asciiTheme="minorHAnsi" w:cstheme="minorHAnsi" w:hAnsiTheme="minorHAnsi"/>
                <w:sz w:val="18"/>
                <w:szCs w:val="18"/>
                <w:lang w:val="en-US"/>
              </w:rPr>
            </w:pPr>
            <w:r>
              <w:rPr>
                <w:rFonts w:cs="Calibri" w:cstheme="minorHAnsi"/>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sz w:val="20"/>
                <w:szCs w:val="20"/>
              </w:rPr>
            </w:pPr>
            <w:r>
              <w:rPr>
                <w:rFonts w:cs="Calibri" w:cstheme="minorHAnsi"/>
                <w:sz w:val="20"/>
                <w:szCs w:val="20"/>
              </w:rPr>
              <w:t>Secretaria Judicial - fórum (Praça Getúlio Vargas, s/n°, Centro – S.A.Monte)</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Certidões de feitos da Justiça estadual (cíveis e criminais) – 2ª Instância, relativas ao loteador, pelo período de 10 (dez) anos, não expedidas há mais de 3 (três) meses.</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ascii="Calibri" w:hAnsi="Calibri" w:cs="Calibri" w:asciiTheme="minorHAnsi" w:cstheme="minorHAnsi" w:hAnsiTheme="minorHAnsi"/>
                <w:sz w:val="18"/>
                <w:szCs w:val="18"/>
                <w:lang w:val="en-US"/>
              </w:rPr>
            </w:pPr>
            <w:r>
              <w:rPr>
                <w:rFonts w:cs="Calibri" w:cstheme="minorHAnsi"/>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12">
              <w:r>
                <w:rPr>
                  <w:rStyle w:val="LinkdaInternet"/>
                  <w:rFonts w:cs="Calibri" w:cstheme="minorHAnsi"/>
                  <w:sz w:val="20"/>
                  <w:szCs w:val="20"/>
                  <w:lang w:val="en-US"/>
                </w:rPr>
                <w:t>http://www8.tjmg.jus.br/certidaoJudicial/faces/emitirCertidao.xhtml</w:t>
              </w:r>
            </w:hyperlink>
          </w:p>
          <w:p>
            <w:pPr>
              <w:pStyle w:val="NoSpacing"/>
              <w:rPr>
                <w:rFonts w:ascii="Calibri" w:hAnsi="Calibri" w:cs="Calibri" w:asciiTheme="minorHAnsi" w:cstheme="minorHAnsi" w:hAnsiTheme="minorHAnsi"/>
                <w:sz w:val="20"/>
                <w:szCs w:val="20"/>
                <w:lang w:val="en-US"/>
              </w:rPr>
            </w:pPr>
            <w:r>
              <w:rPr>
                <w:rFonts w:cs="Calibri" w:cstheme="minorHAnsi"/>
                <w:sz w:val="20"/>
                <w:szCs w:val="20"/>
                <w:lang w:val="en-US"/>
              </w:rPr>
            </w:r>
          </w:p>
        </w:tc>
      </w:tr>
      <w:tr>
        <w:trPr/>
        <w:tc>
          <w:tcPr>
            <w:tcW w:w="418" w:type="dxa"/>
            <w:tcBorders>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left w:val="single" w:sz="4" w:space="0" w:color="00000A"/>
              <w:bottom w:val="single" w:sz="4" w:space="0" w:color="00000A"/>
              <w:right w:val="single" w:sz="4" w:space="0" w:color="00000A"/>
            </w:tcBorders>
            <w:shd w:color="auto" w:fill="FFFFFF" w:val="clear"/>
          </w:tcPr>
          <w:p>
            <w:pPr>
              <w:pStyle w:val="NoSpacing"/>
              <w:rPr/>
            </w:pPr>
            <w:r>
              <w:rPr>
                <w:rFonts w:cs="Times New Roman"/>
              </w:rPr>
              <w:t xml:space="preserve">Certidões de feitos dos Juizados Especiais Estaduais </w:t>
            </w:r>
          </w:p>
        </w:tc>
        <w:tc>
          <w:tcPr>
            <w:tcW w:w="1920" w:type="dxa"/>
            <w:tcBorders>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411" w:type="dxa"/>
            <w:tcBorders>
              <w:left w:val="single" w:sz="4" w:space="0" w:color="00000A"/>
              <w:bottom w:val="single" w:sz="4" w:space="0" w:color="00000A"/>
              <w:right w:val="single" w:sz="4" w:space="0" w:color="00000A"/>
            </w:tcBorders>
            <w:shd w:color="auto" w:fill="FFFFFF" w:val="clear"/>
          </w:tcPr>
          <w:p>
            <w:pPr>
              <w:pStyle w:val="NoSpacing"/>
              <w:spacing w:lineRule="auto" w:line="240"/>
              <w:rPr/>
            </w:pPr>
            <w:hyperlink r:id="rId13">
              <w:r>
                <w:rPr>
                  <w:rStyle w:val="LinkdaInternet"/>
                  <w:rFonts w:cs="Times New Roman"/>
                  <w:sz w:val="20"/>
                  <w:szCs w:val="20"/>
                  <w:lang w:val="en-US"/>
                </w:rPr>
                <w:t>http://www8.tjmg.jus.br/certidaoJudicial/faces/emitirCertidao.xhtml</w:t>
              </w:r>
            </w:hyperlink>
          </w:p>
          <w:p>
            <w:pPr>
              <w:pStyle w:val="NoSpacing"/>
              <w:spacing w:lineRule="auto" w:line="240"/>
              <w:rPr>
                <w:rFonts w:cs="Times New Roman"/>
                <w:sz w:val="20"/>
                <w:szCs w:val="20"/>
                <w:lang w:val="en-US"/>
              </w:rPr>
            </w:pPr>
            <w:r>
              <w:rPr>
                <w:rFonts w:cs="Times New Roman"/>
                <w:sz w:val="20"/>
                <w:szCs w:val="20"/>
                <w:lang w:val="en-US"/>
              </w:rPr>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lang w:val="en-US"/>
              </w:rPr>
            </w:pPr>
            <w:r>
              <w:rPr>
                <w:rFonts w:cs="Calibri" w:cstheme="minorHAnsi"/>
                <w:lang w:val="en-US"/>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 xml:space="preserve">Certidões de feitos da Justiça Federal (cíveis e criminais) relativas ao loteador, pelo período de 10 (dez) anos, não expedidas há mais de 3 (três) meses. </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ascii="Calibri" w:hAnsi="Calibri" w:cs="Calibri" w:asciiTheme="minorHAnsi" w:cstheme="minorHAnsi" w:hAnsiTheme="minorHAnsi"/>
                <w:sz w:val="18"/>
                <w:szCs w:val="18"/>
                <w:lang w:val="en-US"/>
              </w:rPr>
            </w:pPr>
            <w:r>
              <w:rPr>
                <w:rFonts w:cs="Calibri" w:cstheme="minorHAnsi"/>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14">
              <w:r>
                <w:rPr>
                  <w:rStyle w:val="LinkdaInternet"/>
                  <w:rFonts w:cs="Calibri" w:cstheme="minorHAnsi"/>
                  <w:sz w:val="20"/>
                  <w:szCs w:val="20"/>
                  <w:lang w:val="en-US"/>
                </w:rPr>
                <w:t>http://www.trf1.jus.br/Servicos/Certidao/</w:t>
              </w:r>
            </w:hyperlink>
          </w:p>
          <w:p>
            <w:pPr>
              <w:pStyle w:val="NoSpacing"/>
              <w:rPr>
                <w:rFonts w:ascii="Calibri" w:hAnsi="Calibri" w:cs="Calibri" w:asciiTheme="minorHAnsi" w:cstheme="minorHAnsi" w:hAnsiTheme="minorHAnsi"/>
                <w:sz w:val="20"/>
                <w:szCs w:val="20"/>
                <w:lang w:val="en-US"/>
              </w:rPr>
            </w:pPr>
            <w:r>
              <w:rPr>
                <w:rFonts w:cs="Calibri" w:cstheme="minorHAnsi"/>
                <w:sz w:val="20"/>
                <w:szCs w:val="20"/>
                <w:lang w:val="en-US"/>
              </w:rPr>
            </w:r>
          </w:p>
        </w:tc>
      </w:tr>
      <w:tr>
        <w:trPr/>
        <w:tc>
          <w:tcPr>
            <w:tcW w:w="418" w:type="dxa"/>
            <w:tcBorders>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lang w:val="en-US"/>
              </w:rPr>
            </w:pPr>
            <w:r>
              <w:rPr>
                <w:rFonts w:cs="Calibri" w:cstheme="minorHAnsi"/>
                <w:lang w:val="en-US"/>
              </w:rPr>
            </w:r>
          </w:p>
        </w:tc>
        <w:tc>
          <w:tcPr>
            <w:tcW w:w="7863" w:type="dxa"/>
            <w:tcBorders>
              <w:left w:val="single" w:sz="4" w:space="0" w:color="00000A"/>
              <w:bottom w:val="single" w:sz="4" w:space="0" w:color="00000A"/>
              <w:right w:val="single" w:sz="4" w:space="0" w:color="00000A"/>
            </w:tcBorders>
            <w:shd w:color="auto" w:fill="FFFFFF" w:val="clear"/>
          </w:tcPr>
          <w:p>
            <w:pPr>
              <w:pStyle w:val="NoSpacing"/>
              <w:rPr/>
            </w:pPr>
            <w:r>
              <w:rPr>
                <w:rFonts w:cs="Times New Roman"/>
              </w:rPr>
              <w:t xml:space="preserve">Certidões de feitos dos Juizados Especiais </w:t>
            </w:r>
            <w:r>
              <w:rPr>
                <w:rFonts w:eastAsia="Calibri" w:cs="Times New Roman"/>
                <w:color w:val="00000A"/>
                <w:kern w:val="0"/>
                <w:sz w:val="22"/>
                <w:szCs w:val="22"/>
                <w:lang w:val="pt-BR" w:eastAsia="en-US" w:bidi="ar-SA"/>
              </w:rPr>
              <w:t>Federais</w:t>
            </w:r>
          </w:p>
        </w:tc>
        <w:tc>
          <w:tcPr>
            <w:tcW w:w="1920" w:type="dxa"/>
            <w:tcBorders>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Times New Roman"/>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411" w:type="dxa"/>
            <w:tcBorders>
              <w:left w:val="single" w:sz="4" w:space="0" w:color="00000A"/>
              <w:bottom w:val="single" w:sz="4" w:space="0" w:color="00000A"/>
              <w:right w:val="single" w:sz="4" w:space="0" w:color="00000A"/>
            </w:tcBorders>
            <w:shd w:color="auto" w:fill="FFFFFF" w:val="clear"/>
          </w:tcPr>
          <w:p>
            <w:pPr>
              <w:pStyle w:val="NoSpacing"/>
              <w:rPr/>
            </w:pPr>
            <w:hyperlink r:id="rId15">
              <w:r>
                <w:rPr>
                  <w:rStyle w:val="LinkdaInternet"/>
                  <w:rFonts w:cs="Times New Roman"/>
                  <w:sz w:val="18"/>
                  <w:szCs w:val="18"/>
                  <w:lang w:val="en-US"/>
                </w:rPr>
                <w:t>http://www.trf1.jus.br/Servicos/Certidao/</w:t>
              </w:r>
            </w:hyperlink>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lang w:val="en-US"/>
              </w:rPr>
            </w:pPr>
            <w:r>
              <w:rPr>
                <w:rFonts w:cs="Calibri" w:cstheme="minorHAnsi"/>
                <w:lang w:val="en-US"/>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 xml:space="preserve">Certidões de feitos ajuizados na justiça do trabalho (1° e 2° Instâncias) relativas ao loteador, pelo período de 10 (dez) anos, não expedidas há mais de 3 (três) meses. </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ascii="Calibri" w:hAnsi="Calibri" w:cs="Calibri" w:asciiTheme="minorHAnsi" w:cstheme="minorHAnsi" w:hAnsiTheme="minorHAnsi"/>
                <w:sz w:val="18"/>
                <w:szCs w:val="18"/>
                <w:lang w:val="en-US"/>
              </w:rPr>
            </w:pPr>
            <w:r>
              <w:rPr>
                <w:rFonts w:cs="Calibri" w:cstheme="minorHAnsi"/>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16">
              <w:r>
                <w:rPr>
                  <w:rStyle w:val="LinkdaInternet"/>
                  <w:rFonts w:cs="Calibri" w:cstheme="minorHAnsi"/>
                  <w:sz w:val="20"/>
                  <w:szCs w:val="20"/>
                  <w:lang w:val="en-US"/>
                </w:rPr>
                <w:t>http://as3.trt3.jus.br/certidao/feitosTrabalhistas/aba1.emissao.htm</w:t>
              </w:r>
            </w:hyperlink>
          </w:p>
          <w:p>
            <w:pPr>
              <w:pStyle w:val="NoSpacing"/>
              <w:rPr>
                <w:rFonts w:ascii="Calibri" w:hAnsi="Calibri" w:cs="Calibri" w:asciiTheme="minorHAnsi" w:cstheme="minorHAnsi" w:hAnsiTheme="minorHAnsi"/>
                <w:sz w:val="20"/>
                <w:szCs w:val="20"/>
              </w:rPr>
            </w:pPr>
            <w:r>
              <w:rPr>
                <w:rFonts w:cs="Calibri" w:cstheme="minorHAnsi"/>
                <w:sz w:val="20"/>
                <w:szCs w:val="20"/>
              </w:rPr>
              <w:t>ou Secretaria Judicial - fórum (Praça Getúlio Vargas, 39 – S.A.Monte)</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Certidão Negativa de Débitos Trabalhistas – CNDT - relativas ao loteador, pelo período de 10 (dez) anos, não expedidas há mais de 3 (três) meses.</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ascii="Calibri" w:hAnsi="Calibri" w:cs="Calibri" w:asciiTheme="minorHAnsi" w:cstheme="minorHAnsi" w:hAnsiTheme="minorHAnsi"/>
                <w:sz w:val="18"/>
                <w:szCs w:val="18"/>
                <w:lang w:val="en-US"/>
              </w:rPr>
            </w:pPr>
            <w:r>
              <w:rPr>
                <w:rFonts w:cs="Calibri" w:cstheme="minorHAnsi"/>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hyperlink r:id="rId17">
              <w:r>
                <w:rPr>
                  <w:rStyle w:val="LinkdaInternet"/>
                  <w:rFonts w:cs="Calibri" w:cstheme="minorHAnsi"/>
                  <w:sz w:val="20"/>
                  <w:szCs w:val="20"/>
                  <w:lang w:val="en-US"/>
                </w:rPr>
                <w:t>http://www.tst.jus.br/certidao</w:t>
              </w:r>
            </w:hyperlink>
          </w:p>
          <w:p>
            <w:pPr>
              <w:pStyle w:val="NoSpacing"/>
              <w:rPr>
                <w:rFonts w:ascii="Calibri" w:hAnsi="Calibri" w:cs="Calibri" w:asciiTheme="minorHAnsi" w:cstheme="minorHAnsi" w:hAnsiTheme="minorHAnsi"/>
                <w:sz w:val="20"/>
                <w:szCs w:val="20"/>
                <w:lang w:val="en-US"/>
              </w:rPr>
            </w:pPr>
            <w:r>
              <w:rPr>
                <w:rFonts w:cs="Calibri" w:cstheme="minorHAnsi"/>
                <w:sz w:val="20"/>
                <w:szCs w:val="20"/>
                <w:lang w:val="en-US"/>
              </w:rPr>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lang w:val="en-US"/>
              </w:rPr>
            </w:pPr>
            <w:r>
              <w:rPr>
                <w:rFonts w:cs="Calibri" w:cstheme="minorHAnsi"/>
                <w:lang w:val="en-US"/>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 xml:space="preserve">Exemplar do contrato padrão de promessa de venda, ou de cessão ou de promessa de cessão, do qual constarão obrigatoriamente as indicações previstas no art. 26 desta Lei 6.766/79. </w:t>
            </w:r>
            <w:r>
              <w:rPr>
                <w:rStyle w:val="Ncoradanotaderodap"/>
                <w:rFonts w:cs="Calibri" w:cstheme="minorHAnsi"/>
              </w:rPr>
              <w:footnoteReference w:id="13"/>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Calibri" w:cstheme="minorHAnsi"/>
                <w:sz w:val="18"/>
                <w:szCs w:val="18"/>
              </w:rPr>
              <w:t>Art. 18, VI, d Lei 6.766</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996, VI,</w:t>
            </w:r>
            <w:r>
              <w:rPr>
                <w:rFonts w:cs="Times New Roman"/>
                <w:sz w:val="18"/>
                <w:szCs w:val="18"/>
                <w:lang w:val="en-US"/>
              </w:rPr>
              <w:t xml:space="preserve"> Prov.</w:t>
            </w:r>
            <w:r>
              <w:rPr>
                <w:rFonts w:cs="Times New Roman"/>
                <w:color w:val="00000A"/>
                <w:sz w:val="18"/>
                <w:szCs w:val="18"/>
                <w:lang w:val="en-US"/>
              </w:rPr>
              <w:t>93</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sz w:val="20"/>
                <w:szCs w:val="20"/>
              </w:rPr>
            </w:pPr>
            <w:r>
              <w:rPr>
                <w:rFonts w:cs="Calibri" w:cstheme="minorHAnsi"/>
                <w:sz w:val="20"/>
                <w:szCs w:val="20"/>
              </w:rPr>
              <w:t>Próprio empreendedor ou Cartório de Notas</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 xml:space="preserve">Declaração do cônjuge do requerente de que consente no registro do loteamento. </w:t>
            </w:r>
            <w:r>
              <w:rPr>
                <w:rStyle w:val="Ncoradanotaderodap"/>
                <w:rFonts w:cs="Calibri" w:cstheme="minorHAnsi"/>
              </w:rPr>
              <w:footnoteReference w:id="14"/>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Calibri" w:cstheme="minorHAnsi"/>
                <w:sz w:val="18"/>
                <w:szCs w:val="18"/>
              </w:rPr>
              <w:t>Art. 18, VII, d Lei 6.766</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996, VII,</w:t>
            </w:r>
            <w:r>
              <w:rPr>
                <w:rFonts w:cs="Times New Roman"/>
                <w:sz w:val="18"/>
                <w:szCs w:val="18"/>
                <w:lang w:val="en-US"/>
              </w:rPr>
              <w:t xml:space="preserve"> Prov.</w:t>
            </w:r>
            <w:r>
              <w:rPr>
                <w:rFonts w:cs="Times New Roman"/>
                <w:color w:val="00000A"/>
                <w:sz w:val="18"/>
                <w:szCs w:val="18"/>
                <w:lang w:val="en-US"/>
              </w:rPr>
              <w:t>93</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sz w:val="20"/>
                <w:szCs w:val="20"/>
              </w:rPr>
            </w:pPr>
            <w:r>
              <w:rPr>
                <w:rFonts w:cs="Calibri" w:cstheme="minorHAnsi"/>
                <w:sz w:val="20"/>
                <w:szCs w:val="20"/>
              </w:rPr>
              <w:t xml:space="preserve">Loteador </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Planta do empreendimento (ver § 1°, artigo 9 lei 6.766/79), (duas (02) plotagens em papel “sulfite”, assinada por responsável técnico, devidamente aprovada pela Prefeitura Municipal)</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t>Art. 9°. Lei 6.766</w:t>
            </w:r>
          </w:p>
          <w:p>
            <w:pPr>
              <w:pStyle w:val="NoSpacing"/>
              <w:ind w:left="-35" w:right="-78" w:hanging="0"/>
              <w:jc w:val="both"/>
              <w:rPr/>
            </w:pPr>
            <w:r>
              <w:rPr>
                <w:rFonts w:cs="Calibri" w:cstheme="minorHAnsi"/>
                <w:sz w:val="18"/>
                <w:szCs w:val="18"/>
              </w:rPr>
              <w:t>Art. 32, “d”, da Lei nº 4.591/64</w:t>
            </w:r>
          </w:p>
          <w:p>
            <w:pPr>
              <w:pStyle w:val="NoSpacing"/>
              <w:spacing w:lineRule="auto" w:line="240"/>
              <w:ind w:left="-35" w:right="-78" w:hanging="0"/>
              <w:jc w:val="both"/>
              <w:rPr/>
            </w:pPr>
            <w:r>
              <w:rPr>
                <w:rFonts w:cs="Times New Roman"/>
                <w:sz w:val="18"/>
                <w:szCs w:val="18"/>
                <w:lang w:val="en-US"/>
              </w:rPr>
              <w:t xml:space="preserve">Art. </w:t>
            </w:r>
            <w:r>
              <w:rPr>
                <w:rFonts w:eastAsia="Calibri" w:cs="Times New Roman"/>
                <w:color w:val="00000A"/>
                <w:kern w:val="0"/>
                <w:sz w:val="18"/>
                <w:szCs w:val="18"/>
                <w:lang w:val="en-US" w:eastAsia="en-US" w:bidi="ar-SA"/>
              </w:rPr>
              <w:t>988</w:t>
            </w:r>
            <w:r>
              <w:rPr>
                <w:rFonts w:cs="Times New Roman"/>
                <w:sz w:val="18"/>
                <w:szCs w:val="18"/>
                <w:lang w:val="en-US"/>
              </w:rPr>
              <w:t xml:space="preserve"> Prov.</w:t>
            </w:r>
            <w:r>
              <w:rPr>
                <w:rFonts w:cs="Times New Roman"/>
                <w:color w:val="00000A"/>
                <w:sz w:val="18"/>
                <w:szCs w:val="18"/>
                <w:lang w:val="en-US"/>
              </w:rPr>
              <w:t>93/2020</w:t>
            </w:r>
            <w:r>
              <w:rPr>
                <w:rFonts w:cs="Times New Roman"/>
                <w:sz w:val="18"/>
                <w:szCs w:val="18"/>
                <w:lang w:val="en-US"/>
              </w:rPr>
              <w:t>.</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sz w:val="20"/>
                <w:szCs w:val="20"/>
              </w:rPr>
            </w:pPr>
            <w:r>
              <w:rPr>
                <w:rFonts w:cs="Calibri" w:cstheme="minorHAnsi"/>
                <w:sz w:val="20"/>
                <w:szCs w:val="20"/>
              </w:rPr>
              <w:t xml:space="preserve">Responsável técnico </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ART/CREA ou RRT/CAU, relativamente aos projetos e os correspondentes comprovantes de pagamento, quando a anotação o exigir</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8</w:t>
            </w:r>
            <w:r>
              <w:rPr>
                <w:rFonts w:cs="Times New Roman"/>
                <w:sz w:val="18"/>
                <w:szCs w:val="18"/>
              </w:rPr>
              <w:t>95. Prov.</w:t>
            </w:r>
            <w:r>
              <w:rPr>
                <w:rFonts w:cs="Times New Roman"/>
                <w:color w:val="00000A"/>
                <w:sz w:val="18"/>
                <w:szCs w:val="18"/>
              </w:rPr>
              <w:t>93</w:t>
            </w:r>
          </w:p>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Corpodotexto"/>
              <w:spacing w:lineRule="auto" w:line="240" w:before="0" w:after="0"/>
              <w:rPr>
                <w:rStyle w:val="LinkdaInternet"/>
                <w:rFonts w:ascii="Calibri" w:hAnsi="Calibri" w:cs="Calibri" w:asciiTheme="minorHAnsi" w:cstheme="minorHAnsi" w:hAnsiTheme="minorHAnsi"/>
                <w:color w:val="000000"/>
                <w:sz w:val="20"/>
                <w:szCs w:val="20"/>
                <w:u w:val="none"/>
              </w:rPr>
            </w:pPr>
            <w:r>
              <w:rPr>
                <w:rFonts w:cs="Calibri" w:cstheme="minorHAnsi"/>
                <w:sz w:val="20"/>
                <w:szCs w:val="20"/>
              </w:rPr>
              <w:t>Responsável técnico</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Memorial descritivo com indicação das vias, demarcações dos lotes, quadras, logradouros e obras de infraestrutura, devidamente assinado e rubricado por responsável técnico. (cópia em CD ou Pen Drive)</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t>Art. 9°. Lei 6.766</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sz w:val="20"/>
                <w:szCs w:val="20"/>
              </w:rPr>
            </w:pPr>
            <w:r>
              <w:rPr>
                <w:rFonts w:cs="Calibri" w:cstheme="minorHAnsi"/>
                <w:sz w:val="20"/>
                <w:szCs w:val="20"/>
              </w:rPr>
              <w:t>Responsável técnico</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CD ou Pen Drive com croqui de localização do loteamento para publicação no jornal</w:t>
            </w:r>
            <w:r>
              <w:rPr>
                <w:rStyle w:val="Ncoradanotaderodap"/>
                <w:rFonts w:cs="Calibri" w:cstheme="minorHAnsi"/>
              </w:rPr>
              <w:footnoteReference w:id="15"/>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t>Art. 19.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1.005</w:t>
            </w:r>
            <w:r>
              <w:rPr>
                <w:rFonts w:cs="Times New Roman"/>
                <w:sz w:val="18"/>
                <w:szCs w:val="18"/>
              </w:rPr>
              <w:t>. Prov.</w:t>
            </w:r>
            <w:r>
              <w:rPr>
                <w:rFonts w:cs="Times New Roman"/>
                <w:color w:val="00000A"/>
                <w:sz w:val="18"/>
                <w:szCs w:val="18"/>
              </w:rPr>
              <w:t>93/2020</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sz w:val="20"/>
                <w:szCs w:val="20"/>
              </w:rPr>
            </w:pPr>
            <w:r>
              <w:rPr>
                <w:rFonts w:cs="Calibri" w:cstheme="minorHAnsi"/>
                <w:sz w:val="20"/>
                <w:szCs w:val="20"/>
              </w:rPr>
              <w:t>Responsável técnico</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Lei municipal de Aprovação do Loteamento do condomínio horizontal fechado. Apresentada em 180 (cento e oitenta) dias da data da aprovação, sob pena de caducidade.</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ascii="Calibri" w:hAnsi="Calibri" w:cs="Calibri" w:asciiTheme="minorHAnsi" w:cstheme="minorHAnsi" w:hAnsiTheme="minorHAnsi"/>
                <w:sz w:val="18"/>
                <w:szCs w:val="18"/>
                <w:lang w:val="en-US"/>
              </w:rPr>
            </w:pPr>
            <w:r>
              <w:rPr>
                <w:rFonts w:cs="Calibri" w:cstheme="minorHAnsi"/>
                <w:sz w:val="18"/>
                <w:szCs w:val="18"/>
                <w:lang w:val="en-US"/>
              </w:rPr>
              <w:t xml:space="preserve">Art. 18. Lei 6.766 </w:t>
            </w:r>
          </w:p>
          <w:p>
            <w:pPr>
              <w:pStyle w:val="NoSpacing"/>
              <w:ind w:left="-35" w:right="-78" w:hanging="0"/>
              <w:jc w:val="both"/>
              <w:rPr>
                <w:rFonts w:ascii="Calibri" w:hAnsi="Calibri" w:cs="Calibri" w:asciiTheme="minorHAnsi" w:cstheme="minorHAnsi" w:hAnsiTheme="minorHAnsi"/>
                <w:sz w:val="18"/>
                <w:szCs w:val="18"/>
                <w:lang w:val="en-US"/>
              </w:rPr>
            </w:pPr>
            <w:r>
              <w:rPr>
                <w:rFonts w:cs="Calibri" w:cstheme="minorHAnsi"/>
                <w:sz w:val="18"/>
                <w:szCs w:val="18"/>
                <w:lang w:val="en-US"/>
              </w:rPr>
              <w:t>Art. 2°, d Lei 1.606</w:t>
            </w:r>
          </w:p>
          <w:p>
            <w:pPr>
              <w:pStyle w:val="NoSpacing"/>
              <w:ind w:left="-35" w:right="-78" w:hanging="0"/>
              <w:jc w:val="both"/>
              <w:rPr/>
            </w:pPr>
            <w:r>
              <w:rPr>
                <w:rFonts w:cs="Calibri" w:cstheme="minorHAnsi"/>
                <w:sz w:val="18"/>
                <w:szCs w:val="18"/>
              </w:rPr>
              <w:t>Art.21 a 23 da lei1.606</w:t>
            </w:r>
          </w:p>
          <w:p>
            <w:pPr>
              <w:pStyle w:val="NoSpacing"/>
              <w:ind w:left="-35" w:right="-78" w:hanging="0"/>
              <w:jc w:val="both"/>
              <w:rPr/>
            </w:pPr>
            <w:r>
              <w:rPr>
                <w:rFonts w:cs="Calibri" w:cstheme="minorHAnsi"/>
                <w:sz w:val="18"/>
                <w:szCs w:val="18"/>
              </w:rPr>
              <w:t xml:space="preserve">Art.13 da lei 2.215 </w:t>
            </w:r>
          </w:p>
          <w:p>
            <w:pPr>
              <w:pStyle w:val="NoSpacing"/>
              <w:spacing w:lineRule="auto" w:line="240"/>
              <w:ind w:left="-35" w:right="-78" w:hanging="0"/>
              <w:jc w:val="both"/>
              <w:rPr/>
            </w:pPr>
            <w:bookmarkStart w:id="3" w:name="__DdeLink__948_2893967853"/>
            <w:r>
              <w:rPr>
                <w:rFonts w:cs="Times New Roman"/>
                <w:sz w:val="18"/>
                <w:szCs w:val="18"/>
              </w:rPr>
              <w:t xml:space="preserve">Art. </w:t>
            </w:r>
            <w:r>
              <w:rPr>
                <w:rFonts w:eastAsia="Calibri" w:cs="Times New Roman"/>
                <w:color w:val="00000A"/>
                <w:kern w:val="0"/>
                <w:sz w:val="18"/>
                <w:szCs w:val="18"/>
                <w:lang w:val="pt-BR" w:eastAsia="en-US" w:bidi="ar-SA"/>
              </w:rPr>
              <w:t>1.088</w:t>
            </w:r>
            <w:r>
              <w:rPr>
                <w:rFonts w:cs="Times New Roman"/>
                <w:sz w:val="18"/>
                <w:szCs w:val="18"/>
              </w:rPr>
              <w:t>. Prov.</w:t>
            </w:r>
            <w:r>
              <w:rPr>
                <w:rFonts w:cs="Times New Roman"/>
                <w:color w:val="00000A"/>
                <w:sz w:val="18"/>
                <w:szCs w:val="18"/>
              </w:rPr>
              <w:t>93/</w:t>
            </w:r>
            <w:r>
              <w:rPr>
                <w:rFonts w:cs="Times New Roman"/>
                <w:color w:val="00000A"/>
                <w:sz w:val="18"/>
                <w:szCs w:val="18"/>
              </w:rPr>
              <w:t>2020</w:t>
            </w:r>
            <w:bookmarkEnd w:id="3"/>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sz w:val="20"/>
                <w:szCs w:val="20"/>
              </w:rPr>
            </w:pPr>
            <w:r>
              <w:rPr>
                <w:rFonts w:cs="Calibri" w:cstheme="minorHAnsi"/>
                <w:color w:val="000000"/>
                <w:sz w:val="20"/>
                <w:szCs w:val="20"/>
              </w:rPr>
              <w:t>Câmara Municipal (Praça Getúlio Vargas, 18, Centro - S.A.Monte)</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 xml:space="preserve">Parecer de cumprimento das normas ambientais, áreas verdes, áreas de protestação ambiental, emitido pela Secretaria Municipal de Meio Ambiente. </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t>Art.16 a 18 da lei1.606</w:t>
            </w:r>
          </w:p>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t>Art.13 da lei 2.215.</w:t>
            </w:r>
          </w:p>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sz w:val="20"/>
                <w:szCs w:val="20"/>
              </w:rPr>
            </w:pPr>
            <w:r>
              <w:rPr>
                <w:rFonts w:cs="Calibri" w:cstheme="minorHAnsi"/>
                <w:sz w:val="20"/>
                <w:szCs w:val="20"/>
              </w:rPr>
              <w:t xml:space="preserve">Rua Francisco Cândido, n° 97 – Sala 05 – 2 Piso – </w:t>
            </w:r>
            <w:r>
              <w:rPr>
                <w:rFonts w:cs="Calibri" w:cstheme="minorHAnsi"/>
                <w:color w:val="181818"/>
                <w:sz w:val="20"/>
                <w:szCs w:val="20"/>
              </w:rPr>
              <w:t>(Prédio da Rodoviária)</w:t>
            </w:r>
            <w:r>
              <w:rPr>
                <w:rFonts w:cs="Calibri" w:cstheme="minorHAnsi"/>
                <w:sz w:val="20"/>
                <w:szCs w:val="20"/>
              </w:rPr>
              <w:t xml:space="preserve">  – S.A.Monte </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 xml:space="preserve">Licença Ambiental emitido pelo </w:t>
            </w:r>
            <w:bookmarkStart w:id="4" w:name="__DdeLink__481_16587990"/>
            <w:r>
              <w:rPr>
                <w:rFonts w:cs="Calibri" w:cstheme="minorHAnsi"/>
              </w:rPr>
              <w:t>Conselho Municipal de Desenvolvimento Ambiental -</w:t>
            </w:r>
            <w:bookmarkEnd w:id="4"/>
            <w:r>
              <w:rPr>
                <w:rFonts w:cs="Calibri" w:cstheme="minorHAnsi"/>
              </w:rPr>
              <w:t xml:space="preserve"> </w:t>
            </w:r>
            <w:bookmarkStart w:id="5" w:name="__UnoMark__1094_1829798940"/>
            <w:bookmarkEnd w:id="5"/>
            <w:r>
              <w:rPr>
                <w:rFonts w:cs="Calibri" w:cstheme="minorHAnsi"/>
              </w:rPr>
              <w:t>CODEMA</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ascii="Calibri" w:hAnsi="Calibri" w:cs="Calibri" w:asciiTheme="minorHAnsi" w:cstheme="minorHAnsi" w:hAnsiTheme="minorHAnsi"/>
                <w:sz w:val="18"/>
                <w:szCs w:val="18"/>
                <w:lang w:val="en-US"/>
              </w:rPr>
            </w:pPr>
            <w:r>
              <w:rPr>
                <w:rFonts w:cs="Calibri" w:cstheme="minorHAnsi"/>
                <w:sz w:val="18"/>
                <w:szCs w:val="18"/>
                <w:lang w:val="en-US"/>
              </w:rPr>
              <w:t>Art.18 a 20 da lei1.606</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sz w:val="20"/>
                <w:szCs w:val="20"/>
              </w:rPr>
            </w:pPr>
            <w:r>
              <w:rPr>
                <w:rFonts w:cs="Calibri" w:cstheme="minorHAnsi"/>
                <w:sz w:val="20"/>
                <w:szCs w:val="20"/>
              </w:rPr>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 xml:space="preserve">Termo de Verificação de Execução das Obras de Infraestrutura </w:t>
            </w:r>
            <w:r>
              <w:rPr>
                <w:rFonts w:cs="Calibri" w:cstheme="minorHAnsi"/>
                <w:b/>
                <w:bCs/>
              </w:rPr>
              <w:t>ou</w:t>
            </w:r>
            <w:r>
              <w:rPr>
                <w:rFonts w:cs="Calibri" w:cstheme="minorHAnsi"/>
              </w:rPr>
              <w:t xml:space="preserve"> Cronograma</w:t>
            </w:r>
            <w:r>
              <w:rPr>
                <w:rStyle w:val="Ncoradanotaderodap"/>
                <w:rFonts w:cs="Calibri" w:cstheme="minorHAnsi"/>
              </w:rPr>
              <w:footnoteReference w:id="16"/>
            </w:r>
            <w:r>
              <w:rPr>
                <w:rFonts w:cs="Calibri" w:cstheme="minorHAnsi"/>
              </w:rPr>
              <w:t xml:space="preserve"> </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t>Art. 18, V, Lei 6.766</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sz w:val="20"/>
                <w:szCs w:val="20"/>
              </w:rPr>
            </w:pPr>
            <w:r>
              <w:rPr>
                <w:rFonts w:cs="Calibri" w:cstheme="minorHAnsi"/>
                <w:sz w:val="20"/>
                <w:szCs w:val="20"/>
              </w:rPr>
              <w:t>Prefeitura Municipal (Praça Getúlio Vargas, 18, Centro - S.A.Monte)</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Termo de Caução/Instrumento de Garantia de Execução das Obras, nos termos do Art. 25 da lei 1.606//2000.</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t>Art. 18, V, Lei 6.766</w:t>
            </w:r>
          </w:p>
          <w:p>
            <w:pPr>
              <w:pStyle w:val="NoSpacing"/>
              <w:ind w:left="-35" w:right="-78" w:hanging="0"/>
              <w:jc w:val="both"/>
              <w:rPr>
                <w:rFonts w:ascii="Calibri" w:hAnsi="Calibri" w:cs="Calibri" w:asciiTheme="minorHAnsi" w:cstheme="minorHAnsi" w:hAnsiTheme="minorHAnsi"/>
                <w:sz w:val="18"/>
                <w:szCs w:val="18"/>
              </w:rPr>
            </w:pPr>
            <w:r>
              <w:rPr>
                <w:rFonts w:cs="Calibri" w:cstheme="minorHAnsi"/>
                <w:sz w:val="18"/>
                <w:szCs w:val="18"/>
              </w:rPr>
              <w:t>Art. 24 a 33, Lei 1.606</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sz w:val="20"/>
                <w:szCs w:val="20"/>
              </w:rPr>
            </w:pPr>
            <w:r>
              <w:rPr>
                <w:rFonts w:cs="Calibri" w:cstheme="minorHAnsi"/>
                <w:sz w:val="20"/>
                <w:szCs w:val="20"/>
              </w:rPr>
              <w:t>Prefeitura Municipal (Praça Getúlio Vargas, 18, Centro - S.A.Monte)</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Para averbação das obras de construção (p.ex. portaria, clube, etc.): Habite-se e CND/INSS (necessária a apresentação somente quando a construção estiver concluída ou o alvará de construção com data vencida)</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jc w:val="both"/>
              <w:rPr/>
            </w:pPr>
            <w:r>
              <w:rPr>
                <w:rFonts w:cs="Calibri" w:cstheme="minorHAnsi"/>
                <w:sz w:val="18"/>
                <w:szCs w:val="18"/>
                <w:lang w:val="en-US"/>
              </w:rPr>
              <w:t>Art. 938. Prov.</w:t>
            </w:r>
            <w:r>
              <w:rPr>
                <w:rFonts w:cs="Calibri" w:cstheme="minorHAnsi"/>
                <w:color w:val="00000A"/>
                <w:sz w:val="18"/>
                <w:szCs w:val="18"/>
                <w:lang w:val="en-US"/>
              </w:rPr>
              <w:t>93/2020</w:t>
            </w:r>
            <w:r>
              <w:rPr>
                <w:rFonts w:cs="Calibri" w:cstheme="minorHAnsi"/>
                <w:sz w:val="18"/>
                <w:szCs w:val="18"/>
                <w:lang w:val="en-US"/>
              </w:rPr>
              <w:t xml:space="preserve"> </w:t>
            </w:r>
          </w:p>
          <w:p>
            <w:pPr>
              <w:pStyle w:val="NoSpacing"/>
              <w:ind w:left="-35" w:right="-78" w:hanging="0"/>
              <w:jc w:val="both"/>
              <w:rPr/>
            </w:pPr>
            <w:r>
              <w:rPr>
                <w:rFonts w:cs="Calibri" w:cstheme="minorHAnsi"/>
                <w:sz w:val="18"/>
                <w:szCs w:val="18"/>
                <w:lang w:val="en-US"/>
              </w:rPr>
              <w:t>Art. 940. Prov.</w:t>
            </w:r>
            <w:r>
              <w:rPr>
                <w:rFonts w:cs="Calibri" w:cstheme="minorHAnsi"/>
                <w:color w:val="00000A"/>
                <w:sz w:val="18"/>
                <w:szCs w:val="18"/>
                <w:lang w:val="en-US"/>
              </w:rPr>
              <w:t>93/2020</w:t>
            </w:r>
          </w:p>
          <w:p>
            <w:pPr>
              <w:pStyle w:val="NoSpacing"/>
              <w:spacing w:lineRule="auto" w:line="240"/>
              <w:ind w:left="-35" w:right="-78" w:hanging="0"/>
              <w:jc w:val="both"/>
              <w:rPr/>
            </w:pPr>
            <w:r>
              <w:rPr>
                <w:rFonts w:cs="Times New Roman"/>
                <w:color w:val="00000A"/>
                <w:sz w:val="18"/>
                <w:szCs w:val="18"/>
                <w:lang w:val="en-US"/>
              </w:rPr>
              <w:t xml:space="preserve">Art. </w:t>
            </w:r>
            <w:r>
              <w:rPr>
                <w:rFonts w:eastAsia="Calibri" w:cs="Times New Roman"/>
                <w:color w:val="00000A"/>
                <w:kern w:val="0"/>
                <w:sz w:val="18"/>
                <w:szCs w:val="18"/>
                <w:lang w:val="pt-BR" w:eastAsia="en-US" w:bidi="ar-SA"/>
              </w:rPr>
              <w:t>1.091</w:t>
            </w:r>
            <w:r>
              <w:rPr>
                <w:rFonts w:cs="Times New Roman"/>
                <w:color w:val="00000A"/>
                <w:sz w:val="18"/>
                <w:szCs w:val="18"/>
                <w:lang w:val="en-US"/>
              </w:rPr>
              <w:t>. Prov.</w:t>
            </w:r>
            <w:r>
              <w:rPr>
                <w:rFonts w:cs="Times New Roman"/>
                <w:color w:val="00000A"/>
                <w:sz w:val="18"/>
                <w:szCs w:val="18"/>
                <w:lang w:val="en-US"/>
              </w:rPr>
              <w:t>93/</w:t>
            </w:r>
            <w:r>
              <w:rPr>
                <w:rFonts w:cs="Times New Roman"/>
                <w:color w:val="00000A"/>
                <w:sz w:val="18"/>
                <w:szCs w:val="18"/>
                <w:lang w:val="en-US"/>
              </w:rPr>
              <w:t>2020</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sz w:val="20"/>
                <w:szCs w:val="20"/>
              </w:rPr>
            </w:pPr>
            <w:r>
              <w:rPr>
                <w:rFonts w:cs="Calibri" w:cstheme="minorHAnsi"/>
                <w:sz w:val="20"/>
                <w:szCs w:val="20"/>
              </w:rPr>
              <w:t>Prefeitura Municipal (Praça Getúlio Vargas, 18, Centro - S.A.Monte) e INSS (Instituto Nacional do Seguro Social)</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Declaração de que o empreendimento, respeitará uma distância mínima de 50 (cinquenta) metros das linhas limítrofes das Indústrias de Fogos de Artifício.</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ind w:left="-35" w:right="-78" w:hanging="0"/>
              <w:rPr>
                <w:rFonts w:ascii="Calibri" w:hAnsi="Calibri" w:cs="Calibri" w:asciiTheme="minorHAnsi" w:cstheme="minorHAnsi" w:hAnsiTheme="minorHAnsi"/>
                <w:sz w:val="18"/>
                <w:szCs w:val="18"/>
              </w:rPr>
            </w:pPr>
            <w:r>
              <w:rPr>
                <w:rFonts w:cs="Calibri" w:cstheme="minorHAnsi"/>
                <w:sz w:val="18"/>
                <w:szCs w:val="18"/>
              </w:rPr>
              <w:t>Art. 1° da Lei 1.569</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sz w:val="20"/>
                <w:szCs w:val="20"/>
              </w:rPr>
            </w:pPr>
            <w:r>
              <w:rPr>
                <w:rFonts w:cs="Calibri" w:cstheme="minorHAnsi"/>
                <w:sz w:val="20"/>
                <w:szCs w:val="20"/>
              </w:rPr>
              <w:t xml:space="preserve">Loteador </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rFonts w:eastAsia="Calibri" w:cs="Tahoma"/>
                <w:color w:val="00000A"/>
                <w:kern w:val="0"/>
                <w:sz w:val="22"/>
                <w:szCs w:val="22"/>
                <w:lang w:val="pt-BR" w:eastAsia="en-US" w:bidi="ar-SA"/>
              </w:rPr>
              <w:t>C</w:t>
            </w:r>
            <w:r>
              <w:rPr/>
              <w:t xml:space="preserve">ertidão do órgão municipal competente que ateste a inclusão do imóvel em zona urbana, de expansão urbana ou de urbanização específica, conforme lei local. </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spacing w:lineRule="auto" w:line="240"/>
              <w:ind w:left="-35" w:right="-78" w:hanging="0"/>
              <w:jc w:val="both"/>
              <w:rPr/>
            </w:pPr>
            <w:r>
              <w:rPr>
                <w:rFonts w:cs="Times New Roman"/>
                <w:sz w:val="18"/>
                <w:szCs w:val="18"/>
              </w:rPr>
              <w:t xml:space="preserve">Art. </w:t>
            </w:r>
            <w:r>
              <w:rPr>
                <w:rFonts w:eastAsia="Calibri" w:cs="Times New Roman"/>
                <w:color w:val="00000A"/>
                <w:kern w:val="0"/>
                <w:sz w:val="18"/>
                <w:szCs w:val="18"/>
                <w:lang w:val="pt-BR" w:eastAsia="en-US" w:bidi="ar-SA"/>
              </w:rPr>
              <w:t>892</w:t>
            </w:r>
            <w:r>
              <w:rPr>
                <w:rFonts w:cs="Times New Roman"/>
                <w:sz w:val="18"/>
                <w:szCs w:val="18"/>
              </w:rPr>
              <w:t>. Prov.</w:t>
            </w:r>
            <w:r>
              <w:rPr>
                <w:rFonts w:cs="Times New Roman"/>
                <w:color w:val="00000A"/>
                <w:sz w:val="18"/>
                <w:szCs w:val="18"/>
              </w:rPr>
              <w:t>93/2020</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pPr>
            <w:r>
              <w:rPr>
                <w:sz w:val="18"/>
                <w:szCs w:val="18"/>
              </w:rPr>
              <w:t>Prefeitura Municipal</w:t>
            </w:r>
          </w:p>
        </w:tc>
      </w:tr>
      <w:tr>
        <w:trPr/>
        <w:tc>
          <w:tcPr>
            <w:tcW w:w="418"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numPr>
                <w:ilvl w:val="0"/>
                <w:numId w:val="1"/>
              </w:numPr>
              <w:jc w:val="center"/>
              <w:rPr>
                <w:rFonts w:ascii="Calibri" w:hAnsi="Calibri" w:cs="Calibri" w:asciiTheme="minorHAnsi" w:cstheme="minorHAnsi" w:hAnsiTheme="minorHAnsi"/>
              </w:rPr>
            </w:pPr>
            <w:r>
              <w:rPr>
                <w:rFonts w:cs="Calibri" w:cstheme="minorHAnsi"/>
              </w:rPr>
            </w:r>
          </w:p>
        </w:tc>
        <w:tc>
          <w:tcPr>
            <w:tcW w:w="7863"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rPr>
            </w:pPr>
            <w:r>
              <w:rPr>
                <w:rFonts w:cs="Calibri" w:cstheme="minorHAnsi"/>
              </w:rPr>
              <w:t>Inscrição Municipal dos lotes</w:t>
            </w:r>
          </w:p>
        </w:tc>
        <w:tc>
          <w:tcPr>
            <w:tcW w:w="1920"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715</w:t>
            </w:r>
            <w:r>
              <w:rPr>
                <w:rFonts w:cs="Times New Roman"/>
                <w:sz w:val="18"/>
                <w:szCs w:val="18"/>
                <w:lang w:val="en-US"/>
              </w:rPr>
              <w:t>, IV.  Prov.</w:t>
            </w:r>
            <w:r>
              <w:rPr>
                <w:rFonts w:cs="Times New Roman"/>
                <w:color w:val="00000A"/>
                <w:sz w:val="18"/>
                <w:szCs w:val="18"/>
                <w:lang w:val="en-US"/>
              </w:rPr>
              <w:t>93</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787</w:t>
            </w:r>
            <w:r>
              <w:rPr>
                <w:rFonts w:cs="Times New Roman"/>
                <w:sz w:val="18"/>
                <w:szCs w:val="18"/>
                <w:lang w:val="en-US"/>
              </w:rPr>
              <w:t xml:space="preserve">, </w:t>
            </w:r>
            <w:r>
              <w:rPr>
                <w:rFonts w:cs="Times New Roman"/>
                <w:color w:val="00000A"/>
                <w:sz w:val="18"/>
                <w:szCs w:val="18"/>
                <w:lang w:val="en-US"/>
              </w:rPr>
              <w:t>III</w:t>
            </w:r>
            <w:r>
              <w:rPr>
                <w:rFonts w:cs="Times New Roman"/>
                <w:sz w:val="18"/>
                <w:szCs w:val="18"/>
                <w:lang w:val="en-US"/>
              </w:rPr>
              <w:t>.  Prov.</w:t>
            </w:r>
            <w:r>
              <w:rPr>
                <w:rFonts w:cs="Times New Roman"/>
                <w:color w:val="00000A"/>
                <w:sz w:val="18"/>
                <w:szCs w:val="18"/>
                <w:lang w:val="en-US"/>
              </w:rPr>
              <w:t>93</w:t>
            </w:r>
          </w:p>
        </w:tc>
        <w:tc>
          <w:tcPr>
            <w:tcW w:w="5411" w:type="dxa"/>
            <w:tcBorders>
              <w:top w:val="single" w:sz="4" w:space="0" w:color="00000A"/>
              <w:left w:val="single" w:sz="4" w:space="0" w:color="00000A"/>
              <w:bottom w:val="single" w:sz="4" w:space="0" w:color="00000A"/>
              <w:right w:val="single" w:sz="4" w:space="0" w:color="00000A"/>
            </w:tcBorders>
            <w:shd w:color="auto" w:fill="FFFFFF" w:val="clear"/>
          </w:tcPr>
          <w:p>
            <w:pPr>
              <w:pStyle w:val="NoSpacing"/>
              <w:rPr>
                <w:rFonts w:ascii="Calibri" w:hAnsi="Calibri" w:cs="Calibri" w:asciiTheme="minorHAnsi" w:cstheme="minorHAnsi" w:hAnsiTheme="minorHAnsi"/>
                <w:sz w:val="20"/>
                <w:szCs w:val="20"/>
              </w:rPr>
            </w:pPr>
            <w:r>
              <w:rPr>
                <w:rFonts w:cs="Calibri" w:cstheme="minorHAnsi"/>
                <w:sz w:val="20"/>
                <w:szCs w:val="20"/>
              </w:rPr>
              <w:t>Prefeitura Municipal (Praça Getúlio Vargas, 18, Centro - S.A.Monte)</w:t>
            </w:r>
          </w:p>
        </w:tc>
      </w:tr>
    </w:tbl>
    <w:p>
      <w:pPr>
        <w:pStyle w:val="NoSpacing"/>
        <w:rPr>
          <w:rFonts w:ascii="Calibri" w:hAnsi="Calibri" w:cs="Calibri" w:asciiTheme="minorHAnsi" w:cstheme="minorHAnsi" w:hAnsiTheme="minorHAnsi"/>
          <w:sz w:val="24"/>
          <w:szCs w:val="24"/>
        </w:rPr>
      </w:pPr>
      <w:r>
        <w:rPr>
          <w:rFonts w:cs="Calibri" w:cstheme="minorHAnsi"/>
          <w:sz w:val="24"/>
          <w:szCs w:val="24"/>
        </w:rPr>
      </w:r>
    </w:p>
    <w:p>
      <w:pPr>
        <w:pStyle w:val="NoSpacing"/>
        <w:rPr>
          <w:rFonts w:cs="Times New Roman"/>
          <w:bCs/>
          <w:sz w:val="24"/>
          <w:szCs w:val="24"/>
        </w:rPr>
      </w:pPr>
      <w:r>
        <w:rPr>
          <w:rFonts w:cs="Times New Roman"/>
          <w:b/>
          <w:sz w:val="24"/>
          <w:szCs w:val="24"/>
        </w:rPr>
        <w:t xml:space="preserve">Atenção: </w:t>
      </w:r>
      <w:r>
        <w:rPr>
          <w:rFonts w:cs="Times New Roman"/>
          <w:bCs/>
          <w:sz w:val="24"/>
          <w:szCs w:val="24"/>
        </w:rPr>
        <w:t xml:space="preserve">Essa planilha não esgota todas as exigências que podem surgir no caso concreto, nem versa sobre todas as hipóteses de empreendimentos. </w:t>
      </w:r>
    </w:p>
    <w:p>
      <w:pPr>
        <w:pStyle w:val="NoSpacing"/>
        <w:jc w:val="both"/>
        <w:rPr>
          <w:rFonts w:ascii="Calibri" w:hAnsi="Calibri" w:cs="Calibri" w:asciiTheme="minorHAnsi" w:cstheme="minorHAnsi" w:hAnsiTheme="minorHAnsi"/>
          <w:b/>
          <w:b/>
          <w:sz w:val="24"/>
          <w:szCs w:val="24"/>
        </w:rPr>
      </w:pPr>
      <w:r>
        <w:rPr>
          <w:rFonts w:cs="Calibri" w:cstheme="minorHAnsi"/>
          <w:b/>
          <w:sz w:val="24"/>
          <w:szCs w:val="24"/>
        </w:rPr>
      </w:r>
    </w:p>
    <w:p>
      <w:pPr>
        <w:pStyle w:val="NoSpacing"/>
        <w:jc w:val="both"/>
        <w:rPr>
          <w:rFonts w:ascii="Calibri" w:hAnsi="Calibri" w:cs="Calibri" w:asciiTheme="minorHAnsi" w:cstheme="minorHAnsi" w:hAnsiTheme="minorHAnsi"/>
        </w:rPr>
      </w:pPr>
      <w:r>
        <w:rPr>
          <w:rFonts w:cs="Calibri" w:cstheme="minorHAnsi"/>
          <w:b/>
          <w:sz w:val="24"/>
          <w:szCs w:val="24"/>
        </w:rPr>
        <w:t>Observação 1</w:t>
      </w:r>
      <w:r>
        <w:rPr>
          <w:rFonts w:cs="Calibri" w:cstheme="minorHAnsi"/>
          <w:sz w:val="24"/>
          <w:szCs w:val="24"/>
        </w:rPr>
        <w:t>: Na hipótese de o imóvel objeto do parcelamento não se encontrar matriculado no registro geral, o proprietário deverá providenciar abertura de matrícula em seu nome, devendo esta descrever o imóvel com todas as características e confrontações anteriores ao parcelamento e, na matrícula aberta, o oficial de registro efetuará o registro do loteamento ou a averbação do desmembramento.</w:t>
      </w:r>
    </w:p>
    <w:p>
      <w:pPr>
        <w:pStyle w:val="NoSpacing"/>
        <w:jc w:val="both"/>
        <w:rPr>
          <w:rFonts w:ascii="Calibri" w:hAnsi="Calibri" w:cs="Calibri" w:asciiTheme="minorHAnsi" w:cstheme="minorHAnsi" w:hAnsiTheme="minorHAnsi"/>
        </w:rPr>
      </w:pPr>
      <w:r>
        <w:rPr>
          <w:rFonts w:cs="Calibri" w:cstheme="minorHAnsi"/>
          <w:b/>
          <w:sz w:val="24"/>
          <w:szCs w:val="24"/>
        </w:rPr>
        <w:t>Observação 2</w:t>
      </w:r>
      <w:r>
        <w:rPr>
          <w:rFonts w:cs="Calibri" w:cstheme="minorHAnsi"/>
          <w:sz w:val="24"/>
          <w:szCs w:val="24"/>
        </w:rPr>
        <w:t>: Os documentos apresentados para registro do loteamento deverão vir, sempre que possível, no original, podendo ser aceitas vias autenticadas, se o oficial de registro suspeitar da autenticidade de quaisquer das cópias apresentadas, poderá exigir a exibição do original.</w:t>
      </w:r>
    </w:p>
    <w:p>
      <w:pPr>
        <w:pStyle w:val="NoSpacing"/>
        <w:jc w:val="both"/>
        <w:rPr>
          <w:rFonts w:ascii="Calibri" w:hAnsi="Calibri" w:cs="Calibri" w:asciiTheme="minorHAnsi" w:cstheme="minorHAnsi" w:hAnsiTheme="minorHAnsi"/>
        </w:rPr>
      </w:pPr>
      <w:r>
        <w:rPr>
          <w:rFonts w:cs="Calibri" w:cstheme="minorHAnsi"/>
          <w:b/>
          <w:sz w:val="24"/>
          <w:szCs w:val="24"/>
        </w:rPr>
        <w:t>Observação 3</w:t>
      </w:r>
      <w:r>
        <w:rPr>
          <w:rFonts w:cs="Calibri" w:cstheme="minorHAnsi"/>
          <w:sz w:val="24"/>
          <w:szCs w:val="24"/>
        </w:rPr>
        <w:t>: Os loteamentos ou desmembramentos requeridos pelas entidades político-administrativas (União, Estados e Municípios) estão sujeitos ao processo do registro especial, dispensando-se, porém, os documentos mencionados nos incisos II, III, IV e VII do art. 18 da Lei nº 6.766/1979.</w:t>
      </w:r>
    </w:p>
    <w:p>
      <w:pPr>
        <w:pStyle w:val="NoSpacing"/>
        <w:rPr/>
      </w:pPr>
      <w:r>
        <w:rPr/>
      </w:r>
    </w:p>
    <w:sectPr>
      <w:footerReference w:type="default" r:id="rId18"/>
      <w:footnotePr>
        <w:numFmt w:val="decimal"/>
      </w:footnotePr>
      <w:type w:val="nextPage"/>
      <w:pgSz w:orient="landscape" w:w="16838" w:h="11906"/>
      <w:pgMar w:left="720" w:right="720" w:header="0" w:top="720" w:footer="720" w:bottom="127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spacing w:lineRule="auto" w:line="240" w:before="0" w:after="0"/>
        <w:jc w:val="both"/>
        <w:rPr/>
      </w:pPr>
      <w:r>
        <w:rPr>
          <w:rStyle w:val="Caracteresdenotaderodap"/>
        </w:rPr>
        <w:footnoteRef/>
      </w:r>
      <w:r>
        <w:rPr>
          <w:rFonts w:cs="Times New Roman"/>
          <w:sz w:val="20"/>
          <w:szCs w:val="20"/>
        </w:rPr>
        <w:tab/>
        <w:t>Quando o loteador for pessoa jurídica, incumbirá ao oficial verificar, com base no estatuto social, a regularidade da representação societária, especialmente se a pessoa que está requerendo o registro tem poderes para tanto. Há necessidade de poderes especiais, não bastando os denominados “poderes para administração em geral”.</w:t>
      </w:r>
    </w:p>
  </w:footnote>
  <w:footnote w:id="3">
    <w:p>
      <w:pPr>
        <w:pStyle w:val="Notaderodap"/>
        <w:spacing w:lineRule="auto" w:line="240" w:before="0" w:after="0"/>
        <w:rPr/>
      </w:pPr>
      <w:r>
        <w:rPr>
          <w:rStyle w:val="Caracteresdenotaderodap"/>
        </w:rPr>
        <w:footnoteRef/>
      </w:r>
      <w:r>
        <w:rPr>
          <w:rStyle w:val="FootnoteCharacters"/>
          <w:rFonts w:cs="Times New Roman"/>
          <w:sz w:val="20"/>
          <w:szCs w:val="20"/>
        </w:rPr>
        <w:tab/>
      </w:r>
      <w:r>
        <w:rPr>
          <w:rFonts w:cs="Times New Roman"/>
          <w:sz w:val="20"/>
          <w:szCs w:val="20"/>
        </w:rPr>
        <w:t xml:space="preserve"> O histórico, exigido para o parcelamento e para a incorporação, não é a mera reprodução das certidões, mas um resumo ordenado da titularidade do bem. Esclarecerá, por exemplo, sobre as ações reais propostas e os respectivos documentos que mostrem seu resultado. </w:t>
      </w:r>
    </w:p>
  </w:footnote>
  <w:footnote w:id="4">
    <w:p>
      <w:pPr>
        <w:pStyle w:val="Notaderodap"/>
        <w:spacing w:before="0" w:after="200"/>
        <w:jc w:val="both"/>
        <w:rPr/>
      </w:pPr>
      <w:r>
        <w:rPr>
          <w:rStyle w:val="Caracteresdenotaderodap"/>
        </w:rPr>
        <w:footnoteRef/>
      </w:r>
      <w:r>
        <w:rPr>
          <w:rFonts w:cs="Times New Roman"/>
        </w:rPr>
        <w:t xml:space="preserve">  </w:t>
      </w:r>
      <w:r>
        <w:rPr>
          <w:rFonts w:cs="Times New Roman"/>
        </w:rPr>
        <w:t>Será referente ao incorporador, em via original, fornecido por estabelecimento de crédito que opere no país há mais de 5 (cinco) anos, com firma do signatário reconhecida, bem como comprovada a sua representação (procuração ou substabelecimento que autorizam o subscritor a representar a instituição financeira declarante.)</w:t>
      </w:r>
    </w:p>
  </w:footnote>
  <w:footnote w:id="5">
    <w:p>
      <w:pPr>
        <w:pStyle w:val="Notaderodap"/>
        <w:spacing w:before="0" w:after="200"/>
        <w:jc w:val="both"/>
        <w:rPr/>
      </w:pPr>
      <w:r>
        <w:rPr>
          <w:rStyle w:val="Caracteresdenotaderodap"/>
        </w:rPr>
        <w:footnoteRef/>
      </w:r>
      <w:r>
        <w:rPr>
          <w:rFonts w:cs="Times New Roman"/>
        </w:rPr>
        <w:t xml:space="preserve"> </w:t>
      </w:r>
      <w:r>
        <w:rPr>
          <w:rFonts w:cs="Times New Roman"/>
        </w:rPr>
        <w:t>Declaração expressa em que se defina se o empreendimento está ou não sujeito a prazo de carência de até 180 (cento e oitenta) dias, fixando-se as condições que autorizarão o incorporador a desistir do empreendimento. Tal declaração pode estar inserida no memorial de incorporação</w:t>
      </w:r>
    </w:p>
  </w:footnote>
  <w:footnote w:id="6">
    <w:p>
      <w:pPr>
        <w:pStyle w:val="Notaderodap"/>
        <w:spacing w:before="0" w:after="200"/>
        <w:jc w:val="both"/>
        <w:rPr/>
      </w:pPr>
      <w:r>
        <w:rPr>
          <w:rStyle w:val="Caracteresdenotaderodap"/>
        </w:rPr>
        <w:footnoteRef/>
      </w:r>
      <w:r>
        <w:rPr>
          <w:rFonts w:cs="Times New Roman"/>
        </w:rPr>
        <w:t xml:space="preserve"> </w:t>
      </w:r>
      <w:r>
        <w:rPr>
          <w:rFonts w:cs="Times New Roman"/>
        </w:rPr>
        <w:t>Do proprietário do terreno e do incorporador, sempre que forem responsáveis pela arrecadação das respectivas contribuições - pessoa jurídica ou equiparada ou não sendo pessoa jurídica ou equiparada, apresentar declaração de que não é contribuinte obrigatório, na qualidade de empregador, nem a ele equiparado, em caso de pessoa jurídica, basta a apresentação das certidões referentes a ela própria, dispensada a exigência de apresentação de certidões relativas aos sócios.</w:t>
      </w:r>
    </w:p>
  </w:footnote>
  <w:footnote w:id="7">
    <w:p>
      <w:pPr>
        <w:pStyle w:val="Notaderodap"/>
        <w:spacing w:lineRule="auto" w:line="240" w:before="0" w:after="0"/>
        <w:jc w:val="both"/>
        <w:rPr/>
      </w:pPr>
      <w:r>
        <w:rPr>
          <w:rStyle w:val="Caracteresdenotaderodap"/>
        </w:rPr>
        <w:footnoteRef/>
      </w:r>
      <w:r>
        <w:rPr>
          <w:rFonts w:cs="Times New Roman"/>
          <w:sz w:val="20"/>
          <w:szCs w:val="20"/>
        </w:rPr>
        <w:tab/>
        <w:t xml:space="preserve">O decênio, tomará por base a data do pedido de registro do loteamento, devendo </w:t>
      </w:r>
      <w:r>
        <w:rPr>
          <w:rFonts w:cs="Times New Roman"/>
          <w:b/>
          <w:sz w:val="20"/>
          <w:szCs w:val="20"/>
        </w:rPr>
        <w:t>todas as certidões</w:t>
      </w:r>
      <w:r>
        <w:rPr>
          <w:rFonts w:cs="Times New Roman"/>
          <w:sz w:val="20"/>
          <w:szCs w:val="20"/>
        </w:rPr>
        <w:t xml:space="preserve"> serem extraídas em nome daqueles que, nos período de 10 (dez) anos, tenham sido titulares de direitos reais sobre o imóvel, devendo as certidões serem emitidas pela comarca da situação do imóvel e, se distintas, naquelas onde domiciliados o loteador e os antecessores.</w:t>
      </w:r>
    </w:p>
  </w:footnote>
  <w:footnote w:id="8">
    <w:p>
      <w:pPr>
        <w:pStyle w:val="Notaderodap"/>
        <w:spacing w:lineRule="auto" w:line="240" w:before="0" w:after="0"/>
        <w:jc w:val="both"/>
        <w:rPr/>
      </w:pPr>
      <w:r>
        <w:rPr>
          <w:rStyle w:val="Caracteresdenotaderodap"/>
        </w:rPr>
        <w:footnoteRef/>
      </w:r>
      <w:r>
        <w:rPr>
          <w:rFonts w:cs="Times New Roman"/>
          <w:sz w:val="20"/>
          <w:szCs w:val="20"/>
        </w:rPr>
        <w:tab/>
        <w:t>Quando o loteador e os titulares de direitos reais sobre o imóvel forem pessoas naturais casadas, as certidões deverão se referir a ambos os cônjuges.</w:t>
      </w:r>
    </w:p>
  </w:footnote>
  <w:footnote w:id="9">
    <w:p>
      <w:pPr>
        <w:pStyle w:val="Notaderodap"/>
        <w:spacing w:lineRule="auto" w:line="240" w:before="0" w:after="0"/>
        <w:jc w:val="both"/>
        <w:rPr/>
      </w:pPr>
      <w:r>
        <w:rPr>
          <w:rStyle w:val="Caracteresdenotaderodap"/>
        </w:rPr>
        <w:footnoteRef/>
      </w:r>
      <w:r>
        <w:rPr>
          <w:rFonts w:cs="Times New Roman"/>
          <w:sz w:val="20"/>
          <w:szCs w:val="20"/>
        </w:rPr>
        <w:tab/>
        <w:t>Tratando-se de pessoa jurídica, as certidões dos distribuidores criminais deverão referir-se, além da loteadora, também aos respectivos representantes legais.</w:t>
      </w:r>
    </w:p>
  </w:footnote>
  <w:footnote w:id="10">
    <w:p>
      <w:pPr>
        <w:pStyle w:val="Notaderodap"/>
        <w:spacing w:lineRule="auto" w:line="240" w:before="0" w:after="0"/>
        <w:jc w:val="both"/>
        <w:rPr/>
      </w:pPr>
      <w:r>
        <w:rPr>
          <w:rStyle w:val="Caracteresdenotaderodap"/>
        </w:rPr>
        <w:footnoteRef/>
      </w:r>
      <w:r>
        <w:rPr>
          <w:rFonts w:cs="Times New Roman"/>
          <w:sz w:val="20"/>
          <w:szCs w:val="20"/>
        </w:rPr>
        <w:tab/>
        <w:t>Sempre que das certidões de feitos ajuizados envolvendo ações pessoais e reais constar a distribuição positiva, deverá ser exigida certidão complementar, expedida pelo escrivão do feito, sobre seu desfecho ou estado atual. Tal complementação será desnecessária quando se trate de ação que, pela sua própria natureza, desde logo aferida pela certidão do distribuidor judicial, não tenha qualquer repercussão econômica ou relação com o imóvel objeto do loteamento.</w:t>
      </w:r>
    </w:p>
  </w:footnote>
  <w:footnote w:id="11">
    <w:p>
      <w:pPr>
        <w:pStyle w:val="Notaderodap"/>
        <w:spacing w:lineRule="auto" w:line="240" w:before="0" w:after="0"/>
        <w:jc w:val="both"/>
        <w:rPr/>
      </w:pPr>
      <w:r>
        <w:rPr>
          <w:rStyle w:val="Caracteresdenotaderodap"/>
        </w:rPr>
        <w:footnoteRef/>
      </w:r>
      <w:r>
        <w:rPr>
          <w:rFonts w:cs="Times New Roman"/>
          <w:sz w:val="20"/>
          <w:szCs w:val="20"/>
        </w:rPr>
        <w:tab/>
        <w:t>A certidão positiva não impedirá o registro do loteamento se o requerente comprovar que essas ações/ protestos não poderão prejudicar os adquirentes dos lotes. Se o Oficial do Registro de Imóveis julgar insuficiente a comprovação feita, suscitará a dúvida perante o juiz competente.</w:t>
      </w:r>
    </w:p>
  </w:footnote>
  <w:footnote w:id="12">
    <w:p>
      <w:pPr>
        <w:pStyle w:val="Notaderodap"/>
        <w:spacing w:lineRule="auto" w:line="240" w:before="0" w:after="0"/>
        <w:jc w:val="both"/>
        <w:rPr/>
      </w:pPr>
      <w:r>
        <w:rPr>
          <w:rStyle w:val="Caracteresdenotaderodap"/>
        </w:rPr>
        <w:footnoteRef/>
      </w:r>
      <w:r>
        <w:rPr>
          <w:rFonts w:cs="Times New Roman"/>
          <w:sz w:val="20"/>
          <w:szCs w:val="20"/>
        </w:rPr>
        <w:tab/>
        <w:t xml:space="preserve">Sempre que das certidões de feitos ajuizados envolvendo ações pessoais e reais constar a </w:t>
      </w:r>
      <w:r>
        <w:rPr>
          <w:rFonts w:cs="Times New Roman"/>
          <w:b/>
          <w:sz w:val="20"/>
          <w:szCs w:val="20"/>
        </w:rPr>
        <w:t>distribuição positiva</w:t>
      </w:r>
      <w:r>
        <w:rPr>
          <w:rFonts w:cs="Times New Roman"/>
          <w:sz w:val="20"/>
          <w:szCs w:val="20"/>
        </w:rPr>
        <w:t xml:space="preserve">, deverá ser exigida </w:t>
      </w:r>
      <w:r>
        <w:rPr>
          <w:rFonts w:cs="Times New Roman"/>
          <w:b/>
          <w:sz w:val="20"/>
          <w:szCs w:val="20"/>
        </w:rPr>
        <w:t>certidão complementar</w:t>
      </w:r>
      <w:r>
        <w:rPr>
          <w:rFonts w:cs="Times New Roman"/>
          <w:sz w:val="20"/>
          <w:szCs w:val="20"/>
        </w:rPr>
        <w:t>, expedida pelo escrivão do feito, sobre seu desfecho ou estado atual (objeto e pé). Tal complementação será desnecessária quando se trate de ação que, pela sua própria natureza, desde logo aferida pela certidão do distribuidor judicial, não tenha qualquer repercussão econômica ou relação com o imóvel objeto do loteamento.</w:t>
      </w:r>
    </w:p>
  </w:footnote>
  <w:footnote w:id="13">
    <w:p>
      <w:pPr>
        <w:pStyle w:val="Notaderodap"/>
        <w:spacing w:lineRule="auto" w:line="240" w:before="0" w:after="0"/>
        <w:jc w:val="both"/>
        <w:rPr/>
      </w:pPr>
      <w:r>
        <w:rPr>
          <w:rStyle w:val="Caracteresdenotaderodap"/>
        </w:rPr>
        <w:footnoteRef/>
      </w:r>
      <w:r>
        <w:rPr>
          <w:rFonts w:cs="Times New Roman"/>
          <w:sz w:val="20"/>
          <w:szCs w:val="20"/>
        </w:rPr>
        <w:tab/>
        <w:t xml:space="preserve">O pré-contrato ou contrato preliminar não depende de forma solene, podendo ser realizado por instrumento particular e não poderá conter cláusulas de arrependimento. </w:t>
      </w:r>
    </w:p>
  </w:footnote>
  <w:footnote w:id="14">
    <w:p>
      <w:pPr>
        <w:pStyle w:val="Notaderodap"/>
        <w:spacing w:lineRule="auto" w:line="240" w:before="0" w:after="0"/>
        <w:jc w:val="both"/>
        <w:rPr/>
      </w:pPr>
      <w:r>
        <w:rPr>
          <w:rStyle w:val="Caracteresdenotaderodap"/>
        </w:rPr>
        <w:footnoteRef/>
      </w:r>
      <w:r>
        <w:rPr>
          <w:rFonts w:cs="Times New Roman"/>
          <w:sz w:val="20"/>
          <w:szCs w:val="20"/>
        </w:rPr>
        <w:tab/>
        <w:t>A declaração não dispensará o consentimento do declarante para os atos de alienação ou promessa de alienação de lotes, ou de direitos a eles relativos, que venham a ser praticados pelo seu cônjuge.</w:t>
      </w:r>
    </w:p>
  </w:footnote>
  <w:footnote w:id="15">
    <w:p>
      <w:pPr>
        <w:pStyle w:val="Notaderodap"/>
        <w:spacing w:lineRule="auto" w:line="240" w:before="0" w:after="0"/>
        <w:jc w:val="both"/>
        <w:rPr/>
      </w:pPr>
      <w:r>
        <w:rPr>
          <w:rStyle w:val="Caracteresdenotaderodap"/>
        </w:rPr>
        <w:footnoteRef/>
      </w:r>
      <w:r>
        <w:rPr>
          <w:rStyle w:val="FootnoteCharacters"/>
          <w:rFonts w:cs="Times New Roman"/>
          <w:sz w:val="20"/>
          <w:szCs w:val="20"/>
        </w:rPr>
        <w:tab/>
      </w:r>
      <w:r>
        <w:rPr>
          <w:rFonts w:cs="Times New Roman"/>
          <w:sz w:val="20"/>
          <w:szCs w:val="20"/>
        </w:rPr>
        <w:t xml:space="preserve"> A publicação se fará apenas num dos jornais locais em 3 (três) edições consecutivas.</w:t>
      </w:r>
    </w:p>
  </w:footnote>
  <w:footnote w:id="16">
    <w:p>
      <w:pPr>
        <w:pStyle w:val="Notaderodap"/>
        <w:spacing w:lineRule="auto" w:line="240" w:before="0" w:after="0"/>
        <w:jc w:val="both"/>
        <w:rPr/>
      </w:pPr>
      <w:r>
        <w:rPr>
          <w:rStyle w:val="Caracteresdenotaderodap"/>
        </w:rPr>
        <w:footnoteRef/>
      </w:r>
      <w:r>
        <w:rPr>
          <w:rFonts w:cs="Times New Roman"/>
          <w:sz w:val="20"/>
          <w:szCs w:val="20"/>
        </w:rPr>
        <w:tab/>
        <w:t>O cronograma contendo prazo máximo e improrrogável de 03 (três) anos contados a partir da data da constituição do condomínio, deverá constar no mínimo, as especificações do art. 10 da lei municipal 2.215/2013. Após a pratica dos atos estabelecidos nos termos de verificação de obras, deverá ser apresentado o respectivo termo de verificação devendo o oficial comunicar a omissão à prefeitura e ao juiz corregedor, para as providencias cabíveis.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t-BR"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kinsoku w:val="true"/>
      <w:overflowPunct w:val="false"/>
      <w:autoSpaceDE w:val="true"/>
      <w:bidi w:val="0"/>
      <w:spacing w:lineRule="auto" w:line="276" w:before="0" w:after="200"/>
      <w:jc w:val="left"/>
    </w:pPr>
    <w:rPr>
      <w:rFonts w:ascii="Calibri" w:hAnsi="Calibri" w:eastAsia="Calibri" w:cs="Tahoma"/>
      <w:color w:val="00000A"/>
      <w:kern w:val="0"/>
      <w:sz w:val="22"/>
      <w:szCs w:val="22"/>
      <w:lang w:val="pt-BR" w:eastAsia="en-US" w:bidi="ar-SA"/>
    </w:rPr>
  </w:style>
  <w:style w:type="paragraph" w:styleId="Ttulo1">
    <w:name w:val="Heading 1"/>
    <w:basedOn w:val="Ttulododocumento"/>
    <w:qFormat/>
    <w:pPr>
      <w:outlineLvl w:val="0"/>
    </w:pPr>
    <w:rPr/>
  </w:style>
  <w:style w:type="paragraph" w:styleId="Ttulo2">
    <w:name w:val="Heading 2"/>
    <w:basedOn w:val="Ttulododocumento"/>
    <w:qFormat/>
    <w:pPr>
      <w:outlineLvl w:val="1"/>
    </w:pPr>
    <w:rPr/>
  </w:style>
  <w:style w:type="paragraph" w:styleId="Ttulo3">
    <w:name w:val="Heading 3"/>
    <w:basedOn w:val="Ttulododocumento"/>
    <w:qFormat/>
    <w:pPr>
      <w:outlineLvl w:val="2"/>
    </w:pPr>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qFormat/>
    <w:rPr>
      <w:sz w:val="20"/>
      <w:szCs w:val="20"/>
    </w:rPr>
  </w:style>
  <w:style w:type="character" w:styleId="Ncoradanotaderodap" w:customStyle="1">
    <w:name w:val="Âncora da nota de rodapé"/>
    <w:rPr>
      <w:vertAlign w:val="superscript"/>
    </w:rPr>
  </w:style>
  <w:style w:type="character" w:styleId="FootnoteCharacters">
    <w:name w:val="Footnote Characters"/>
    <w:basedOn w:val="DefaultParagraphFont"/>
    <w:qFormat/>
    <w:rPr>
      <w:vertAlign w:val="superscript"/>
    </w:rPr>
  </w:style>
  <w:style w:type="character" w:styleId="LinkdaInternet">
    <w:name w:val="Link da Internet"/>
    <w:basedOn w:val="DefaultParagraphFont"/>
    <w:uiPriority w:val="99"/>
    <w:unhideWhenUsed/>
    <w:rsid w:val="004a5b50"/>
    <w:rPr>
      <w:color w:val="0000FF" w:themeColor="hyperlink"/>
      <w:u w:val="single"/>
    </w:rPr>
  </w:style>
  <w:style w:type="character" w:styleId="TextodebaloChar" w:customStyle="1">
    <w:name w:val="Texto de balão Char"/>
    <w:basedOn w:val="DefaultParagraphFont"/>
    <w:qFormat/>
    <w:rPr>
      <w:rFonts w:ascii="Tahoma" w:hAnsi="Tahoma" w:cs="Tahoma"/>
      <w:sz w:val="16"/>
      <w:szCs w:val="16"/>
    </w:rPr>
  </w:style>
  <w:style w:type="character" w:styleId="Ncoradanotadefim" w:customStyle="1">
    <w:name w:val="Âncora da nota de fim"/>
    <w:rPr>
      <w:vertAlign w:val="superscript"/>
    </w:rPr>
  </w:style>
  <w:style w:type="character" w:styleId="Caracteresdenotaderodap" w:customStyle="1">
    <w:name w:val="Caracteres de nota de rodapé"/>
    <w:qFormat/>
    <w:rPr/>
  </w:style>
  <w:style w:type="character" w:styleId="Caracteresdenotadefim" w:customStyle="1">
    <w:name w:val="Caracteres de nota de fim"/>
    <w:qFormat/>
    <w:rPr/>
  </w:style>
  <w:style w:type="character" w:styleId="UnresolvedMention">
    <w:name w:val="Unresolved Mention"/>
    <w:basedOn w:val="DefaultParagraphFont"/>
    <w:uiPriority w:val="99"/>
    <w:semiHidden/>
    <w:unhideWhenUsed/>
    <w:qFormat/>
    <w:rsid w:val="007b2077"/>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customStyle="1">
    <w:name w:val="Body Text"/>
    <w:basedOn w:val="Normal"/>
    <w:pPr>
      <w:spacing w:lineRule="auto" w:line="288"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dodocumento" w:customStyle="1">
    <w:name w:val="Title"/>
    <w:basedOn w:val="Normal"/>
    <w:next w:val="Corpodotexto"/>
    <w:qFormat/>
    <w:pPr/>
    <w:rPr/>
  </w:style>
  <w:style w:type="paragraph" w:styleId="Caption">
    <w:name w:val="caption"/>
    <w:basedOn w:val="Normal"/>
    <w:qFormat/>
    <w:pPr>
      <w:suppressLineNumbers/>
      <w:spacing w:before="120" w:after="120"/>
    </w:pPr>
    <w:rPr>
      <w:rFonts w:cs="Mangal"/>
      <w:i/>
      <w:iCs/>
      <w:sz w:val="24"/>
      <w:szCs w:val="24"/>
    </w:rPr>
  </w:style>
  <w:style w:type="paragraph" w:styleId="NoSpacing">
    <w:name w:val="No Spacing"/>
    <w:qFormat/>
    <w:pPr>
      <w:widowControl/>
      <w:suppressAutoHyphens w:val="true"/>
      <w:kinsoku w:val="true"/>
      <w:overflowPunct w:val="false"/>
      <w:autoSpaceDE w:val="true"/>
      <w:bidi w:val="0"/>
      <w:spacing w:lineRule="auto" w:line="240" w:before="0" w:after="0"/>
      <w:jc w:val="left"/>
    </w:pPr>
    <w:rPr>
      <w:rFonts w:ascii="Calibri" w:hAnsi="Calibri" w:eastAsia="Calibri" w:cs="Tahoma"/>
      <w:color w:val="00000A"/>
      <w:kern w:val="0"/>
      <w:sz w:val="22"/>
      <w:szCs w:val="22"/>
      <w:lang w:val="pt-BR" w:eastAsia="en-US" w:bidi="ar-SA"/>
    </w:rPr>
  </w:style>
  <w:style w:type="paragraph" w:styleId="Notaderodap" w:customStyle="1">
    <w:name w:val="Footnote Text"/>
    <w:basedOn w:val="Normal"/>
    <w:pPr/>
    <w:rPr/>
  </w:style>
  <w:style w:type="paragraph" w:styleId="BalloonText">
    <w:name w:val="Balloon Text"/>
    <w:basedOn w:val="Normal"/>
    <w:qFormat/>
    <w:pPr>
      <w:spacing w:lineRule="auto" w:line="240" w:before="0" w:after="0"/>
    </w:pPr>
    <w:rPr>
      <w:rFonts w:ascii="Tahoma" w:hAnsi="Tahoma"/>
      <w:sz w:val="16"/>
      <w:szCs w:val="16"/>
    </w:rPr>
  </w:style>
  <w:style w:type="paragraph" w:styleId="Citaes" w:customStyle="1">
    <w:name w:val="Citações"/>
    <w:basedOn w:val="Normal"/>
    <w:qFormat/>
    <w:pPr/>
    <w:rPr/>
  </w:style>
  <w:style w:type="paragraph" w:styleId="Subttulo">
    <w:name w:val="Subtitle"/>
    <w:basedOn w:val="Ttulododocumento"/>
    <w:qFormat/>
    <w:pPr/>
    <w:rPr/>
  </w:style>
  <w:style w:type="paragraph" w:styleId="Contedodatabela" w:customStyle="1">
    <w:name w:val="Conteúdo da tabela"/>
    <w:basedOn w:val="Normal"/>
    <w:qFormat/>
    <w:pPr/>
    <w:rPr/>
  </w:style>
  <w:style w:type="paragraph" w:styleId="Ttulodetabela" w:customStyle="1">
    <w:name w:val="Título de tabela"/>
    <w:basedOn w:val="Contedodatabela"/>
    <w:qFormat/>
    <w:pPr/>
    <w:rPr/>
  </w:style>
  <w:style w:type="paragraph" w:styleId="CabealhoeRodap">
    <w:name w:val="Cabeçalho e Rodapé"/>
    <w:basedOn w:val="Normal"/>
    <w:qFormat/>
    <w:pPr/>
    <w:rPr/>
  </w:style>
  <w:style w:type="paragraph" w:styleId="Rodap">
    <w:name w:val="Footer"/>
    <w:basedOn w:val="Normal"/>
    <w:pPr/>
    <w:rPr/>
  </w:style>
  <w:style w:type="paragraph" w:styleId="NormalWeb">
    <w:name w:val="Normal (Web)"/>
    <w:basedOn w:val="Normal"/>
    <w:uiPriority w:val="99"/>
    <w:semiHidden/>
    <w:unhideWhenUsed/>
    <w:qFormat/>
    <w:rsid w:val="00c043bb"/>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jucemg.mg.gov.br/ibr/" TargetMode="External"/><Relationship Id="rId4" Type="http://schemas.openxmlformats.org/officeDocument/2006/relationships/hyperlink" Target="http://www.jucemg.mg.gov.br/ibr/" TargetMode="External"/><Relationship Id="rId5" Type="http://schemas.openxmlformats.org/officeDocument/2006/relationships/hyperlink" Target="http://receita.economia.gov.br/" TargetMode="External"/><Relationship Id="rId6" Type="http://schemas.openxmlformats.org/officeDocument/2006/relationships/hyperlink" Target="https://corimg.org/incorporacoes-imobiliarias" TargetMode="External"/><Relationship Id="rId7" Type="http://schemas.openxmlformats.org/officeDocument/2006/relationships/hyperlink" Target="http://www.serjus.com.br/on-line/noticia.php?id=1477" TargetMode="External"/><Relationship Id="rId8" Type="http://schemas.openxmlformats.org/officeDocument/2006/relationships/hyperlink" Target="https://corimg.org/incorporacoes-imobiliarias" TargetMode="External"/><Relationship Id="rId9" Type="http://schemas.openxmlformats.org/officeDocument/2006/relationships/hyperlink" Target="http://servicos.receita.fazenda.gov.br/Servicos/certidao/cndconjuntainter/informanicertidao.asp?tipo=1" TargetMode="External"/><Relationship Id="rId10" Type="http://schemas.openxmlformats.org/officeDocument/2006/relationships/hyperlink" Target="http://www.receita.fazenda.gov.br/Grupo2/Certidoes.htm" TargetMode="External"/><Relationship Id="rId11" Type="http://schemas.openxmlformats.org/officeDocument/2006/relationships/hyperlink" Target="http://www.fazenda.mg.gov.br/empresas/certidao_debitos/" TargetMode="External"/><Relationship Id="rId12" Type="http://schemas.openxmlformats.org/officeDocument/2006/relationships/hyperlink" Target="http://www8.tjmg.jus.br/certidaoJudicial/faces/emitirCertidao.xhtml" TargetMode="External"/><Relationship Id="rId13" Type="http://schemas.openxmlformats.org/officeDocument/2006/relationships/hyperlink" Target="http://www8.tjmg.jus.br/certidaoJudicial/faces/emitirCertidao.xhtml" TargetMode="External"/><Relationship Id="rId14" Type="http://schemas.openxmlformats.org/officeDocument/2006/relationships/hyperlink" Target="http://www.trf1.jus.br/Servicos/Certidao/" TargetMode="External"/><Relationship Id="rId15" Type="http://schemas.openxmlformats.org/officeDocument/2006/relationships/hyperlink" Target="http://www.trf1.jus.br/Servicos/Certidao/" TargetMode="External"/><Relationship Id="rId16" Type="http://schemas.openxmlformats.org/officeDocument/2006/relationships/hyperlink" Target="http://as3.trt3.jus.br/certidao/feitosTrabalhistas/aba1.emissao.htm" TargetMode="External"/><Relationship Id="rId17" Type="http://schemas.openxmlformats.org/officeDocument/2006/relationships/hyperlink" Target="http://www.tst.jus.br/certidao" TargetMode="External"/><Relationship Id="rId18" Type="http://schemas.openxmlformats.org/officeDocument/2006/relationships/footer" Target="footer1.xml"/><Relationship Id="rId19" Type="http://schemas.openxmlformats.org/officeDocument/2006/relationships/footnotes" Target="footnote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4016-74C7-4D34-8B19-1A9D317E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Application>LibreOffice/6.3.6.2$Windows_X86_64 LibreOffice_project/2196df99b074d8a661f4036fca8fa0cbfa33a497</Application>
  <Pages>5</Pages>
  <Words>2350</Words>
  <Characters>13604</Characters>
  <CharactersWithSpaces>15764</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2018-09-17T21:31:00Z</dcterms:created>
  <dc:creator>Lenovo</dc:creator>
  <dc:description/>
  <dc:language>pt-BR</dc:language>
  <cp:lastModifiedBy/>
  <cp:lastPrinted>2019-06-29T10:34:00Z</cp:lastPrinted>
  <dcterms:modified xsi:type="dcterms:W3CDTF">2020-06-30T08:08:59Z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