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mc:AlternateContent>
          <mc:Choice Requires="wps">
            <w:drawing>
              <wp:anchor behindDoc="1" distT="0" distB="0" distL="0" distR="0" simplePos="0" locked="0" layoutInCell="1" allowOverlap="1" relativeHeight="2" wp14:anchorId="3107A91D">
                <wp:simplePos x="0" y="0"/>
                <wp:positionH relativeFrom="column">
                  <wp:posOffset>7743825</wp:posOffset>
                </wp:positionH>
                <wp:positionV relativeFrom="paragraph">
                  <wp:posOffset>-54610</wp:posOffset>
                </wp:positionV>
                <wp:extent cx="1383665" cy="818515"/>
                <wp:effectExtent l="0" t="0" r="0" b="3810"/>
                <wp:wrapNone/>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2"/>
                        <a:stretch/>
                      </pic:blipFill>
                      <pic:spPr>
                        <a:xfrm>
                          <a:off x="0" y="0"/>
                          <a:ext cx="1383120" cy="817920"/>
                        </a:xfrm>
                        <a:prstGeom prst="rect">
                          <a:avLst/>
                        </a:prstGeom>
                        <a:ln>
                          <a:noFill/>
                        </a:ln>
                        <a:effectLst>
                          <a:softEdge rad="1125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609.75pt;margin-top:-4.3pt;width:108.85pt;height:64.35pt" wp14:anchorId="3107A91D" type="shapetype_75">
                <v:imagedata r:id="rId2" o:detectmouseclick="t"/>
                <w10:wrap type="none"/>
                <v:stroke color="#3465a4" joinstyle="round" endcap="flat"/>
              </v:shape>
            </w:pict>
          </mc:Fallback>
        </mc:AlternateContent>
      </w:r>
      <w:r>
        <w:rPr>
          <w:rFonts w:cs="Times New Roman"/>
          <w:b/>
          <w:caps/>
          <w:sz w:val="28"/>
          <w:szCs w:val="28"/>
          <w:u w:val="single"/>
        </w:rPr>
        <w:t xml:space="preserve">Relação de documentos para </w:t>
      </w:r>
      <w:bookmarkStart w:id="0" w:name="__DdeLink__2176_1628865549"/>
      <w:r>
        <w:rPr>
          <w:rFonts w:cs="Times New Roman"/>
          <w:b/>
          <w:caps/>
          <w:sz w:val="28"/>
          <w:szCs w:val="28"/>
          <w:u w:val="single"/>
        </w:rPr>
        <w:t>registro de loteamentos Rural</w:t>
      </w:r>
      <w:bookmarkEnd w:id="0"/>
    </w:p>
    <w:p>
      <w:pPr>
        <w:pStyle w:val="NoSpacing"/>
        <w:jc w:val="center"/>
        <w:rPr>
          <w:rFonts w:cs="Times New Roman"/>
          <w:sz w:val="24"/>
          <w:szCs w:val="24"/>
        </w:rPr>
      </w:pPr>
      <w:r>
        <w:rPr>
          <w:rFonts w:cs="Times New Roman"/>
          <w:sz w:val="24"/>
          <w:szCs w:val="24"/>
        </w:rPr>
        <w:t xml:space="preserve">(Lei n° 6.766/79; Lei n° 10.257/01; Lei 4.504/64; Decreto n° 59.428/66; </w:t>
      </w:r>
      <w:bookmarkStart w:id="1" w:name="_GoBack"/>
      <w:bookmarkEnd w:id="1"/>
    </w:p>
    <w:p>
      <w:pPr>
        <w:pStyle w:val="NoSpacing"/>
        <w:jc w:val="center"/>
        <w:rPr/>
      </w:pPr>
      <w:r>
        <w:rPr>
          <w:rFonts w:cs="Times New Roman"/>
          <w:sz w:val="24"/>
          <w:szCs w:val="24"/>
        </w:rPr>
        <w:t xml:space="preserve">Provimento n° </w:t>
      </w:r>
      <w:r>
        <w:rPr>
          <w:rFonts w:eastAsia="Calibri" w:cs="Times New Roman"/>
          <w:color w:val="00000A"/>
          <w:kern w:val="0"/>
          <w:sz w:val="24"/>
          <w:szCs w:val="24"/>
          <w:lang w:val="pt-BR" w:eastAsia="en-US" w:bidi="ar-SA"/>
        </w:rPr>
        <w:t>93</w:t>
      </w:r>
      <w:r>
        <w:rPr>
          <w:rFonts w:cs="Times New Roman"/>
          <w:sz w:val="24"/>
          <w:szCs w:val="24"/>
        </w:rPr>
        <w:t>/CGJ/20</w:t>
      </w:r>
      <w:r>
        <w:rPr>
          <w:rFonts w:eastAsia="Calibri" w:cs="Times New Roman"/>
          <w:color w:val="00000A"/>
          <w:kern w:val="0"/>
          <w:sz w:val="24"/>
          <w:szCs w:val="24"/>
          <w:lang w:val="pt-BR" w:eastAsia="en-US" w:bidi="ar-SA"/>
        </w:rPr>
        <w:t>20</w:t>
      </w:r>
      <w:r>
        <w:rPr>
          <w:rFonts w:cs="Times New Roman"/>
          <w:sz w:val="24"/>
          <w:szCs w:val="24"/>
        </w:rPr>
        <w:t xml:space="preserve"> e Leis Municipais n° 2.223/2015).</w:t>
      </w:r>
    </w:p>
    <w:p>
      <w:pPr>
        <w:pStyle w:val="NoSpacing"/>
        <w:jc w:val="center"/>
        <w:rPr>
          <w:rFonts w:cs="Times New Roman"/>
          <w:sz w:val="24"/>
          <w:szCs w:val="24"/>
        </w:rPr>
      </w:pPr>
      <w:r>
        <w:rPr>
          <w:rFonts w:cs="Times New Roman"/>
          <w:sz w:val="24"/>
          <w:szCs w:val="24"/>
        </w:rPr>
      </w:r>
    </w:p>
    <w:tbl>
      <w:tblPr>
        <w:tblW w:w="15613" w:type="dxa"/>
        <w:jc w:val="left"/>
        <w:tblInd w:w="-30" w:type="dxa"/>
        <w:tblCellMar>
          <w:top w:w="0" w:type="dxa"/>
          <w:left w:w="78" w:type="dxa"/>
          <w:bottom w:w="0" w:type="dxa"/>
          <w:right w:w="108" w:type="dxa"/>
        </w:tblCellMar>
        <w:tblLook w:firstRow="0" w:noVBand="0" w:lastRow="0" w:firstColumn="0" w:lastColumn="0" w:noHBand="0" w:val="0000"/>
      </w:tblPr>
      <w:tblGrid>
        <w:gridCol w:w="429"/>
        <w:gridCol w:w="6996"/>
        <w:gridCol w:w="1934"/>
        <w:gridCol w:w="6253"/>
      </w:tblGrid>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cs="Times New Roman"/>
              </w:rPr>
            </w:pPr>
            <w:r>
              <w:rPr>
                <w:rFonts w:cs="Times New Roman"/>
              </w:rPr>
              <w:t>N°</w:t>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cs="Times New Roman"/>
                <w:sz w:val="21"/>
                <w:szCs w:val="21"/>
              </w:rPr>
            </w:pPr>
            <w:r>
              <w:rPr>
                <w:rFonts w:cs="Times New Roman"/>
                <w:sz w:val="21"/>
                <w:szCs w:val="21"/>
              </w:rPr>
              <w:t xml:space="preserve">Título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cs="Times New Roman"/>
                <w:sz w:val="21"/>
                <w:szCs w:val="21"/>
              </w:rPr>
            </w:pPr>
            <w:r>
              <w:rPr>
                <w:rFonts w:cs="Times New Roman"/>
                <w:sz w:val="21"/>
                <w:szCs w:val="21"/>
              </w:rPr>
              <w:t>Fundamentação</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pPr>
            <w:r>
              <w:rPr>
                <w:rFonts w:cs="Times New Roman"/>
                <w:sz w:val="21"/>
                <w:szCs w:val="21"/>
              </w:rPr>
              <w:t xml:space="preserve">Disponível em: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Requerimento ao Oficial de Registro de Imóveis assinado por todos os proprietários (com firma reconhecida) solicitando o registro do loteamento Rural.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sz w:val="18"/>
                <w:szCs w:val="18"/>
              </w:rPr>
              <w:t xml:space="preserve">Modelo disponível no Serviço Registral de Imóveis </w:t>
            </w:r>
          </w:p>
        </w:tc>
      </w:tr>
      <w:tr>
        <w:trPr/>
        <w:tc>
          <w:tcPr>
            <w:tcW w:w="429"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b/>
                <w:bCs/>
              </w:rPr>
              <w:t>2.1 Sendo pessoa Jurídica</w:t>
            </w:r>
            <w:r>
              <w:rPr>
                <w:rFonts w:cs="Times New Roman"/>
              </w:rPr>
              <w:t>: Cópia autenticada do Contrato Social da empresa, e respectiva Alteração Contratual, quando for o caso.</w:t>
            </w:r>
            <w:r>
              <w:rPr>
                <w:rStyle w:val="Ncoradanotaderodap"/>
                <w:rFonts w:cs="Times New Roman"/>
              </w:rPr>
              <w:footnoteReference w:id="2"/>
            </w:r>
            <w:r>
              <w:rPr>
                <w:rFonts w:cs="Times New Roman"/>
              </w:rPr>
              <w:t xml:space="preserve">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3">
              <w:r>
                <w:rPr>
                  <w:rStyle w:val="LinkdaInternet"/>
                  <w:rFonts w:cs="Times New Roman"/>
                  <w:sz w:val="18"/>
                  <w:szCs w:val="18"/>
                </w:rPr>
                <w:t>http://www.jucemg.mg.gov.br/ibr/</w:t>
              </w:r>
            </w:hyperlink>
            <w:r>
              <w:rPr>
                <w:rFonts w:cs="Times New Roman"/>
                <w:sz w:val="18"/>
                <w:szCs w:val="18"/>
              </w:rPr>
              <w:t xml:space="preserve"> Loteador (contador)</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2.2 Certidão simplificada da Junta Comercial ou do Ofício de Registro Civil das Pessoas Jurídicas, na qual se verificará a capacidade de representação dos signatários do requerimento</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4">
              <w:r>
                <w:rPr>
                  <w:rStyle w:val="LinkdaInternet"/>
                  <w:rFonts w:cs="Times New Roman"/>
                  <w:sz w:val="18"/>
                  <w:szCs w:val="18"/>
                </w:rPr>
                <w:t>http://www.jucemg.mg.gov.br/ibr/</w:t>
              </w:r>
            </w:hyperlink>
            <w:r>
              <w:rPr>
                <w:rFonts w:cs="Times New Roman"/>
                <w:sz w:val="18"/>
                <w:szCs w:val="18"/>
              </w:rPr>
              <w:t xml:space="preserve"> Loteador (contador)</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2.3 Comprovante de inscrição no CNPJ</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5">
              <w:r>
                <w:rPr>
                  <w:rStyle w:val="LinkdaInternet"/>
                  <w:sz w:val="18"/>
                  <w:szCs w:val="18"/>
                </w:rPr>
                <w:t>http://receita.economia.gov.br/</w:t>
              </w:r>
            </w:hyperlink>
            <w:r>
              <w:rPr>
                <w:sz w:val="18"/>
                <w:szCs w:val="18"/>
              </w:rPr>
              <w:t xml:space="preserve"> </w:t>
            </w:r>
            <w:r>
              <w:rPr>
                <w:rFonts w:cs="Times New Roman"/>
                <w:sz w:val="18"/>
                <w:szCs w:val="18"/>
              </w:rPr>
              <w:t>Loteador (contador)</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Certidão da matrícula ou título de propriedade do imóvel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I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w:t>
            </w:r>
            <w:r>
              <w:rPr>
                <w:rFonts w:cs="Times New Roman"/>
                <w:sz w:val="18"/>
                <w:szCs w:val="18"/>
              </w:rPr>
              <w:t xml:space="preserve">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 xml:space="preserve">Serviço Registral de Imóveis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Certidão ônus reais, ações reipersecutórias, ou negativa, relativos ao imóvel.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rPr>
            </w:pPr>
            <w:r>
              <w:rPr>
                <w:rFonts w:cs="Times New Roman"/>
                <w:sz w:val="18"/>
                <w:szCs w:val="18"/>
              </w:rPr>
              <w:t>Art. 18, IV, C Lei 6.766</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Serviço Registral de Imóveis</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Histórico dos títulos de propriedade do imóvel, abrangendo os últimos 20 (vintes anos), acompanhados dos respectivos comprovantes.</w:t>
            </w:r>
            <w:r>
              <w:rPr>
                <w:rStyle w:val="Ncoradanotaderodap"/>
                <w:rFonts w:cs="Times New Roman"/>
              </w:rPr>
              <w:footnoteReference w:id="3"/>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II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w:t>
            </w:r>
            <w:r>
              <w:rPr>
                <w:rFonts w:cs="Times New Roman"/>
                <w:sz w:val="18"/>
                <w:szCs w:val="18"/>
              </w:rPr>
              <w:t xml:space="preserve">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Serviço Registral de Imóveis</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 xml:space="preserve">Memorial de </w:t>
            </w:r>
            <w:r>
              <w:rPr/>
              <w:t xml:space="preserve">Instituição de Condomínio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1.032</w:t>
            </w:r>
            <w:r>
              <w:rPr>
                <w:rFonts w:cs="Times New Roman"/>
                <w:sz w:val="18"/>
                <w:szCs w:val="18"/>
              </w:rPr>
              <w:t xml:space="preserve"> Prov.</w:t>
            </w:r>
            <w:r>
              <w:rPr>
                <w:rFonts w:eastAsia="Calibri" w:cs="Times New Roman"/>
                <w:color w:val="00000A"/>
                <w:kern w:val="0"/>
                <w:sz w:val="18"/>
                <w:szCs w:val="18"/>
                <w:lang w:val="pt-BR" w:eastAsia="en-US" w:bidi="ar-SA"/>
              </w:rPr>
              <w:t>93/2020</w:t>
            </w:r>
          </w:p>
          <w:p>
            <w:pPr>
              <w:pStyle w:val="NoSpacing"/>
              <w:ind w:left="-35" w:right="-78" w:hanging="0"/>
              <w:jc w:val="both"/>
              <w:rPr>
                <w:rFonts w:cs="Times New Roman"/>
                <w:sz w:val="18"/>
                <w:szCs w:val="18"/>
              </w:rPr>
            </w:pPr>
            <w:r>
              <w:rPr>
                <w:rFonts w:cs="Times New Roman"/>
                <w:sz w:val="18"/>
                <w:szCs w:val="18"/>
              </w:rPr>
              <w:t>Lei 4.591/64</w:t>
            </w:r>
          </w:p>
          <w:p>
            <w:pPr>
              <w:pStyle w:val="NoSpacing"/>
              <w:ind w:left="-35" w:right="-78" w:hanging="0"/>
              <w:jc w:val="both"/>
              <w:rPr>
                <w:rFonts w:cs="Times New Roman"/>
                <w:sz w:val="18"/>
                <w:szCs w:val="18"/>
              </w:rPr>
            </w:pPr>
            <w:bookmarkStart w:id="2" w:name="__DdeLink__893_474150987"/>
            <w:r>
              <w:rPr>
                <w:rFonts w:cs="Times New Roman"/>
                <w:sz w:val="18"/>
                <w:szCs w:val="18"/>
              </w:rPr>
              <w:t xml:space="preserve">Art.1°e30 </w:t>
            </w:r>
            <w:bookmarkEnd w:id="2"/>
            <w:r>
              <w:rPr>
                <w:rFonts w:cs="Times New Roman"/>
                <w:sz w:val="18"/>
                <w:szCs w:val="18"/>
              </w:rPr>
              <w:t>Lei 2.223/15</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Style w:val="LinkdaInternet"/>
                <w:color w:val="000000"/>
                <w:sz w:val="18"/>
                <w:szCs w:val="18"/>
                <w:u w:val="none"/>
              </w:rPr>
              <w:t xml:space="preserve">Modelo disponível: </w:t>
            </w:r>
            <w:hyperlink r:id="rId6">
              <w:r>
                <w:rPr>
                  <w:rStyle w:val="LinkdaInternet"/>
                  <w:sz w:val="18"/>
                  <w:szCs w:val="18"/>
                </w:rPr>
                <w:t>https://www.corimg.org/home/incorporacoes_imobiliarias</w:t>
              </w:r>
            </w:hyperlink>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NBR 12.721/2006 a folha preliminar e os quadros I, II, III, IV-A, IV-B e V, subscritos pelos proprietários e pelo profissional responsável pelos cálculos, com firmas reconhecidas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1.039</w:t>
            </w:r>
            <w:r>
              <w:rPr>
                <w:rFonts w:cs="Times New Roman"/>
                <w:sz w:val="18"/>
                <w:szCs w:val="18"/>
              </w:rPr>
              <w:t>.III Prov.</w:t>
            </w:r>
            <w:r>
              <w:rPr>
                <w:rFonts w:eastAsia="Calibri" w:cs="Times New Roman"/>
                <w:color w:val="00000A"/>
                <w:kern w:val="0"/>
                <w:sz w:val="18"/>
                <w:szCs w:val="18"/>
                <w:lang w:val="pt-BR" w:eastAsia="en-US" w:bidi="ar-SA"/>
              </w:rPr>
              <w:t>93/20</w:t>
            </w:r>
          </w:p>
          <w:p>
            <w:pPr>
              <w:pStyle w:val="NoSpacing"/>
              <w:ind w:left="-35" w:right="-78" w:hanging="0"/>
              <w:jc w:val="both"/>
              <w:rPr>
                <w:rFonts w:cs="Times New Roman"/>
                <w:sz w:val="18"/>
                <w:szCs w:val="18"/>
              </w:rPr>
            </w:pPr>
            <w:r>
              <w:rPr>
                <w:rFonts w:cs="Times New Roman"/>
                <w:sz w:val="18"/>
                <w:szCs w:val="18"/>
              </w:rPr>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color w:val="000000"/>
                <w:sz w:val="18"/>
                <w:szCs w:val="18"/>
                <w:u w:val="none"/>
              </w:rPr>
            </w:pPr>
            <w:r>
              <w:rPr>
                <w:rFonts w:cs="Times New Roman"/>
                <w:sz w:val="18"/>
                <w:szCs w:val="18"/>
              </w:rPr>
              <w:t>Responsável técnico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ART/CREA ou RRT/CAU, relativamente aos cálculos e os correspondentes comprovantes de pagamento, quando a anotação o exigir</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1.039</w:t>
            </w:r>
            <w:r>
              <w:rPr>
                <w:rFonts w:cs="Times New Roman"/>
                <w:sz w:val="18"/>
                <w:szCs w:val="18"/>
              </w:rPr>
              <w:t>.I</w:t>
            </w:r>
            <w:r>
              <w:rPr>
                <w:rFonts w:eastAsia="Calibri" w:cs="Times New Roman"/>
                <w:color w:val="00000A"/>
                <w:kern w:val="0"/>
                <w:sz w:val="18"/>
                <w:szCs w:val="18"/>
                <w:lang w:val="pt-BR" w:eastAsia="en-US" w:bidi="ar-SA"/>
              </w:rPr>
              <w:t>V</w:t>
            </w:r>
            <w:r>
              <w:rPr>
                <w:rFonts w:cs="Times New Roman"/>
                <w:sz w:val="18"/>
                <w:szCs w:val="18"/>
              </w:rPr>
              <w:t xml:space="preserve"> Prov.</w:t>
            </w:r>
            <w:r>
              <w:rPr>
                <w:rFonts w:eastAsia="Calibri" w:cs="Times New Roman"/>
                <w:color w:val="00000A"/>
                <w:kern w:val="0"/>
                <w:sz w:val="18"/>
                <w:szCs w:val="18"/>
                <w:lang w:val="pt-BR" w:eastAsia="en-US" w:bidi="ar-SA"/>
              </w:rPr>
              <w:t>93/20</w:t>
            </w:r>
          </w:p>
          <w:p>
            <w:pPr>
              <w:pStyle w:val="NoSpacing"/>
              <w:ind w:left="-35" w:right="-78" w:hanging="0"/>
              <w:jc w:val="both"/>
              <w:rPr>
                <w:rFonts w:cs="Times New Roman"/>
                <w:sz w:val="18"/>
                <w:szCs w:val="18"/>
              </w:rPr>
            </w:pPr>
            <w:r>
              <w:rPr>
                <w:rFonts w:cs="Times New Roman"/>
                <w:sz w:val="18"/>
                <w:szCs w:val="18"/>
              </w:rPr>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color w:val="000000"/>
                <w:sz w:val="18"/>
                <w:szCs w:val="18"/>
                <w:u w:val="none"/>
              </w:rPr>
            </w:pPr>
            <w:r>
              <w:rPr>
                <w:rFonts w:cs="Times New Roman"/>
                <w:sz w:val="18"/>
                <w:szCs w:val="18"/>
              </w:rPr>
              <w:t>Responsável técnico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Convenção de Condomínio</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1.019</w:t>
            </w:r>
            <w:r>
              <w:rPr>
                <w:rFonts w:cs="Times New Roman"/>
                <w:sz w:val="18"/>
                <w:szCs w:val="18"/>
              </w:rPr>
              <w:t>. Prov.</w:t>
            </w:r>
            <w:r>
              <w:rPr>
                <w:rFonts w:eastAsia="Calibri" w:cs="Times New Roman"/>
                <w:color w:val="00000A"/>
                <w:kern w:val="0"/>
                <w:sz w:val="18"/>
                <w:szCs w:val="18"/>
                <w:lang w:val="pt-BR" w:eastAsia="en-US" w:bidi="ar-SA"/>
              </w:rPr>
              <w:t>93/2020</w:t>
            </w:r>
            <w:r>
              <w:rPr>
                <w:rFonts w:cs="Times New Roman"/>
                <w:sz w:val="18"/>
                <w:szCs w:val="18"/>
              </w:rPr>
              <w:t>.</w:t>
            </w:r>
          </w:p>
          <w:p>
            <w:pPr>
              <w:pStyle w:val="NoSpacing"/>
              <w:spacing w:lineRule="auto" w:line="240"/>
              <w:ind w:left="-35" w:right="-78" w:hanging="0"/>
              <w:jc w:val="both"/>
              <w:rPr/>
            </w:pPr>
            <w:r>
              <w:rPr>
                <w:rFonts w:cs="Times New Roman"/>
                <w:sz w:val="18"/>
                <w:szCs w:val="18"/>
                <w:lang w:val="en-US"/>
              </w:rPr>
              <w:t xml:space="preserve">Art. </w:t>
            </w:r>
            <w:r>
              <w:rPr>
                <w:rFonts w:eastAsia="Calibri" w:cs="Times New Roman"/>
                <w:color w:val="00000A"/>
                <w:kern w:val="0"/>
                <w:sz w:val="18"/>
                <w:szCs w:val="18"/>
                <w:lang w:val="en-US" w:eastAsia="en-US" w:bidi="ar-SA"/>
              </w:rPr>
              <w:t>1.093.</w:t>
            </w:r>
            <w:r>
              <w:rPr>
                <w:rFonts w:cs="Times New Roman"/>
                <w:sz w:val="18"/>
                <w:szCs w:val="18"/>
                <w:lang w:val="en-US"/>
              </w:rPr>
              <w:t xml:space="preserve"> Prov.</w:t>
            </w:r>
            <w:r>
              <w:rPr>
                <w:rFonts w:cs="Times New Roman"/>
                <w:color w:val="00000A"/>
                <w:sz w:val="18"/>
                <w:szCs w:val="18"/>
                <w:lang w:val="en-US"/>
              </w:rPr>
              <w:t>93/2020</w:t>
            </w:r>
          </w:p>
          <w:p>
            <w:pPr>
              <w:pStyle w:val="NoSpacing"/>
              <w:ind w:left="-35" w:right="-78" w:hanging="0"/>
              <w:jc w:val="both"/>
              <w:rPr>
                <w:rFonts w:cs="Times New Roman"/>
                <w:sz w:val="18"/>
                <w:szCs w:val="18"/>
              </w:rPr>
            </w:pPr>
            <w:r>
              <w:rPr>
                <w:rFonts w:cs="Times New Roman"/>
                <w:sz w:val="18"/>
                <w:szCs w:val="18"/>
              </w:rPr>
              <w:t>Lei 4.591/64</w:t>
            </w:r>
          </w:p>
          <w:p>
            <w:pPr>
              <w:pStyle w:val="NoSpacing"/>
              <w:ind w:left="-35" w:right="-78" w:hanging="0"/>
              <w:jc w:val="both"/>
              <w:rPr/>
            </w:pPr>
            <w:r>
              <w:rPr>
                <w:rFonts w:cs="Times New Roman"/>
                <w:sz w:val="18"/>
                <w:szCs w:val="18"/>
              </w:rPr>
              <w:t>Art.1°e30 Lei 2.223/15</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Style w:val="LinkdaInternet"/>
                <w:color w:val="000000"/>
                <w:sz w:val="18"/>
                <w:szCs w:val="18"/>
                <w:u w:val="none"/>
              </w:rPr>
              <w:t xml:space="preserve">Modelo disponível: </w:t>
            </w:r>
            <w:hyperlink r:id="rId7">
              <w:r>
                <w:rPr>
                  <w:rStyle w:val="LinkdaInternet"/>
                  <w:sz w:val="18"/>
                  <w:szCs w:val="18"/>
                </w:rPr>
                <w:t>https://www.corimg.org/home/incorporacoes_imobiliarias</w:t>
              </w:r>
            </w:hyperlink>
          </w:p>
        </w:tc>
      </w:tr>
      <w:tr>
        <w:trPr/>
        <w:tc>
          <w:tcPr>
            <w:tcW w:w="429"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Incorporação imobiliária (em caso de venda antes dos términos das obras)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Art.1.358-A, §3°, da Lei 10.406/02 – C.C</w:t>
            </w:r>
          </w:p>
          <w:p>
            <w:pPr>
              <w:pStyle w:val="NoSpacing"/>
              <w:spacing w:lineRule="auto" w:line="240"/>
              <w:ind w:left="-35" w:right="-78" w:hanging="0"/>
              <w:jc w:val="both"/>
              <w:rPr/>
            </w:pPr>
            <w:r>
              <w:rPr>
                <w:rFonts w:cs="Times New Roman"/>
                <w:sz w:val="18"/>
                <w:szCs w:val="18"/>
                <w:lang w:val="en-US"/>
              </w:rPr>
              <w:t xml:space="preserve">Art. </w:t>
            </w:r>
            <w:r>
              <w:rPr>
                <w:rFonts w:eastAsia="Calibri" w:cs="Times New Roman"/>
                <w:color w:val="00000A"/>
                <w:kern w:val="0"/>
                <w:sz w:val="18"/>
                <w:szCs w:val="18"/>
                <w:lang w:val="en-US" w:eastAsia="en-US" w:bidi="ar-SA"/>
              </w:rPr>
              <w:t>1.090</w:t>
            </w:r>
            <w:r>
              <w:rPr>
                <w:rFonts w:cs="Times New Roman"/>
                <w:sz w:val="18"/>
                <w:szCs w:val="18"/>
                <w:lang w:val="en-US"/>
              </w:rPr>
              <w:t xml:space="preserve"> Prov.</w:t>
            </w:r>
            <w:r>
              <w:rPr>
                <w:rFonts w:cs="Times New Roman"/>
                <w:color w:val="00000A"/>
                <w:sz w:val="18"/>
                <w:szCs w:val="18"/>
                <w:lang w:val="en-US"/>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.1 Memorial de Incorporação</w:t>
            </w:r>
          </w:p>
          <w:p>
            <w:pPr>
              <w:pStyle w:val="NoSpacing"/>
              <w:rPr>
                <w:rFonts w:ascii="Calibri" w:hAnsi="Calibri" w:cs="Calibri" w:asciiTheme="minorHAnsi" w:cstheme="minorHAnsi" w:hAnsiTheme="minorHAnsi"/>
              </w:rPr>
            </w:pPr>
            <w:r>
              <w:rPr>
                <w:rFonts w:cs="Calibri" w:cstheme="minorHAnsi"/>
              </w:rPr>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 </w:t>
            </w:r>
            <w:r>
              <w:rPr>
                <w:rFonts w:cs="Calibri" w:cstheme="minorHAnsi"/>
                <w:sz w:val="18"/>
                <w:szCs w:val="18"/>
              </w:rPr>
              <w:t>Prov.</w:t>
            </w:r>
            <w:r>
              <w:rPr>
                <w:rFonts w:eastAsia="Calibri" w:cs="Calibri" w:cstheme="minorHAnsi"/>
                <w:color w:val="00000A"/>
                <w:kern w:val="0"/>
                <w:sz w:val="18"/>
                <w:szCs w:val="18"/>
                <w:lang w:val="pt-BR" w:eastAsia="en-US" w:bidi="ar-SA"/>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Fonts w:cs="Calibri" w:cstheme="minorHAnsi"/>
                <w:sz w:val="20"/>
                <w:szCs w:val="20"/>
              </w:rPr>
              <w:t xml:space="preserve">Empreendedor - </w:t>
            </w:r>
            <w:r>
              <w:rPr>
                <w:rStyle w:val="LinkdaInternet"/>
                <w:rFonts w:cs="Calibri" w:cstheme="minorHAnsi"/>
                <w:color w:val="000000"/>
                <w:sz w:val="20"/>
                <w:szCs w:val="20"/>
                <w:u w:val="none"/>
              </w:rPr>
              <w:t xml:space="preserve">Modelo disponível: </w:t>
            </w:r>
            <w:hyperlink r:id="rId8">
              <w:r>
                <w:rPr>
                  <w:rStyle w:val="LinkdaInternet"/>
                  <w:rFonts w:cs="Calibri" w:cstheme="minorHAnsi"/>
                  <w:sz w:val="20"/>
                  <w:szCs w:val="20"/>
                </w:rPr>
                <w:t>https://corimg.org/incorporacoes-imobiliarias</w:t>
              </w:r>
            </w:hyperlink>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.2 NBR 12.721:2006 os quadros VI,VII e VIII, assinados pelo profissional responsável e pelo proprietário, com firmas reconhecidas.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1.059.VII </w:t>
            </w:r>
            <w:r>
              <w:rPr>
                <w:rFonts w:cs="Calibri" w:cstheme="minorHAnsi"/>
                <w:sz w:val="18"/>
                <w:szCs w:val="18"/>
              </w:rPr>
              <w:t>Prov.</w:t>
            </w:r>
            <w:r>
              <w:rPr>
                <w:rFonts w:eastAsia="Calibri" w:cs="Calibri" w:cstheme="minorHAnsi"/>
                <w:color w:val="00000A"/>
                <w:kern w:val="0"/>
                <w:sz w:val="18"/>
                <w:szCs w:val="18"/>
                <w:lang w:val="pt-BR" w:eastAsia="en-US" w:bidi="ar-SA"/>
              </w:rPr>
              <w:t>93/20</w:t>
            </w:r>
            <w:r>
              <w:rPr>
                <w:rFonts w:cs="Calibri" w:cstheme="minorHAnsi"/>
                <w:sz w:val="18"/>
                <w:szCs w:val="18"/>
              </w:rPr>
              <w:t xml:space="preserve"> Art. 32, “e”, “g”, “h” e “i”, da Lei nº 4.591/64 </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.3 ART/CREA ou RRT/CAU, relativamente aos quadros da NBR 12.721:2006</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1.059.VIII </w:t>
            </w:r>
            <w:r>
              <w:rPr>
                <w:rFonts w:cs="Calibri" w:cstheme="minorHAnsi"/>
                <w:sz w:val="18"/>
                <w:szCs w:val="18"/>
              </w:rPr>
              <w:t>Prov.</w:t>
            </w:r>
            <w:r>
              <w:rPr>
                <w:rFonts w:eastAsia="Calibri" w:cs="Calibri" w:cstheme="minorHAnsi"/>
                <w:color w:val="00000A"/>
                <w:kern w:val="0"/>
                <w:sz w:val="18"/>
                <w:szCs w:val="18"/>
                <w:lang w:val="pt-BR" w:eastAsia="en-US" w:bidi="ar-SA"/>
              </w:rPr>
              <w:t>93</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.4 Atestado De Idoneidade Financeira</w:t>
            </w:r>
            <w:r>
              <w:rPr>
                <w:rStyle w:val="Ncoradanotaderodap"/>
                <w:rFonts w:cs="Calibri" w:cstheme="minorHAnsi"/>
              </w:rPr>
              <w:footnoteReference w:id="4"/>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1.059.X </w:t>
            </w:r>
            <w:r>
              <w:rPr>
                <w:rFonts w:cs="Calibri" w:cstheme="minorHAnsi"/>
                <w:sz w:val="18"/>
                <w:szCs w:val="18"/>
              </w:rPr>
              <w:t>Prov.</w:t>
            </w:r>
            <w:r>
              <w:rPr>
                <w:rFonts w:eastAsia="Calibri" w:cs="Calibri" w:cstheme="minorHAnsi"/>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32, “o”, da Lei nº 4.591/1964)</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Estabelecimento de crédito que opere no país há mais de 5 (cinco) anos</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.5 Declaração Do Prazo De Carência</w:t>
            </w:r>
            <w:r>
              <w:rPr>
                <w:rStyle w:val="Ncoradanotaderodap"/>
                <w:rFonts w:cs="Calibri" w:cstheme="minorHAnsi"/>
              </w:rPr>
              <w:footnoteReference w:id="5"/>
            </w:r>
          </w:p>
          <w:p>
            <w:pPr>
              <w:pStyle w:val="NoSpacing"/>
              <w:rPr>
                <w:rFonts w:ascii="Calibri" w:hAnsi="Calibri" w:cs="Calibri" w:asciiTheme="minorHAnsi" w:cstheme="minorHAnsi" w:hAnsiTheme="minorHAnsi"/>
              </w:rPr>
            </w:pPr>
            <w:r>
              <w:rPr>
                <w:rFonts w:cs="Calibri" w:cstheme="minorHAnsi"/>
              </w:rPr>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1.059.XV </w:t>
            </w:r>
            <w:r>
              <w:rPr>
                <w:rFonts w:cs="Calibri" w:cstheme="minorHAnsi"/>
                <w:sz w:val="18"/>
                <w:szCs w:val="18"/>
              </w:rPr>
              <w:t>Prov.</w:t>
            </w:r>
            <w:r>
              <w:rPr>
                <w:rFonts w:eastAsia="Calibri" w:cs="Calibri" w:cstheme="minorHAnsi"/>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32, “n”, da</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Lei nº 4.591/1964</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Empreendedor</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.6 Certidão negativa de débito para com o INSS</w:t>
            </w:r>
            <w:r>
              <w:rPr>
                <w:rStyle w:val="Ncoradanotaderodap"/>
                <w:rFonts w:cs="Calibri" w:cstheme="minorHAnsi"/>
              </w:rPr>
              <w:footnoteReference w:id="6"/>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32, “f”, da Lei nº</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4.591/1964</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hyperlink r:id="rId9">
              <w:r>
                <w:rPr>
                  <w:rStyle w:val="LinkdaInternet"/>
                  <w:rFonts w:cs="Calibri" w:cstheme="minorHAnsi"/>
                  <w:sz w:val="20"/>
                  <w:szCs w:val="20"/>
                </w:rPr>
                <w:t>http://servicos.receita.fazenda.gov.br/Servicos/certidao/cndconjuntainter/informanicertidao.asp?tipo=1</w:t>
              </w:r>
            </w:hyperlink>
            <w:r>
              <w:rPr>
                <w:rFonts w:cs="Calibri" w:cstheme="minorHAnsi"/>
                <w:sz w:val="20"/>
                <w:szCs w:val="20"/>
              </w:rPr>
              <w:t xml:space="preserve"> Empreendedor / contador</w:t>
            </w:r>
          </w:p>
        </w:tc>
      </w:tr>
      <w:tr>
        <w:trPr/>
        <w:tc>
          <w:tcPr>
            <w:tcW w:w="429"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1</w:t>
            </w:r>
            <w:r>
              <w:rPr>
                <w:color w:val="00000A"/>
                <w:sz w:val="22"/>
              </w:rPr>
              <w:t>2</w:t>
            </w:r>
            <w:r>
              <w:rPr/>
              <w:t>.7 Certidão do valor venal do imóvel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rPr>
            </w:pPr>
            <w:r>
              <w:rPr>
                <w:rFonts w:cs="Times New Roman"/>
                <w:sz w:val="18"/>
                <w:szCs w:val="18"/>
              </w:rPr>
              <w:t>Art.10, I Lei 15.424 MG</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cs="Times New Roman"/>
                <w:sz w:val="18"/>
                <w:szCs w:val="18"/>
              </w:rPr>
            </w:pPr>
            <w:r>
              <w:rPr>
                <w:rFonts w:cs="Times New Roman"/>
                <w:sz w:val="18"/>
                <w:szCs w:val="18"/>
              </w:rPr>
              <w:t>Prefeitura Municipal (Praça Getúlio Vargas, 18,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w:t>
            </w:r>
            <w:r>
              <w:rPr>
                <w:rFonts w:cs="Times New Roman"/>
                <w:b/>
              </w:rPr>
              <w:t>negativas</w:t>
            </w:r>
            <w:r>
              <w:rPr>
                <w:rFonts w:cs="Times New Roman"/>
              </w:rPr>
              <w:t xml:space="preserve"> tributos </w:t>
            </w:r>
            <w:r>
              <w:rPr>
                <w:rFonts w:cs="Times New Roman"/>
                <w:u w:val="single"/>
              </w:rPr>
              <w:t>federais</w:t>
            </w:r>
            <w:r>
              <w:rPr>
                <w:rFonts w:cs="Times New Roman"/>
              </w:rPr>
              <w:t>, incidentes sobre o imóvel.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0">
              <w:r>
                <w:rPr>
                  <w:rStyle w:val="LinkdaInternet"/>
                  <w:rFonts w:cs="Times New Roman"/>
                  <w:sz w:val="18"/>
                  <w:szCs w:val="18"/>
                </w:rPr>
                <w:t>http://www.receita.fazenda.gov.br/Grupo2/Certidoes.htm</w:t>
              </w:r>
            </w:hyperlink>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w:t>
            </w:r>
            <w:r>
              <w:rPr>
                <w:rFonts w:cs="Times New Roman"/>
                <w:b/>
              </w:rPr>
              <w:t>negativas</w:t>
            </w:r>
            <w:r>
              <w:rPr>
                <w:rFonts w:cs="Times New Roman"/>
              </w:rPr>
              <w:t xml:space="preserve"> tributos </w:t>
            </w:r>
            <w:r>
              <w:rPr>
                <w:rFonts w:cs="Times New Roman"/>
                <w:u w:val="single"/>
              </w:rPr>
              <w:t>estaduais</w:t>
            </w:r>
            <w:r>
              <w:rPr>
                <w:rFonts w:cs="Times New Roman"/>
              </w:rPr>
              <w:t xml:space="preserve">, incidentes sobre o imóvel.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1">
              <w:r>
                <w:rPr>
                  <w:rStyle w:val="LinkdaInternet"/>
                  <w:rFonts w:cs="Times New Roman"/>
                  <w:sz w:val="18"/>
                  <w:szCs w:val="18"/>
                </w:rPr>
                <w:t>http://www.fazenda.mg.gov.br/empresas/certidao_debitos/</w:t>
              </w:r>
            </w:hyperlink>
            <w:r>
              <w:rPr>
                <w:rFonts w:cs="Times New Roman"/>
                <w:sz w:val="18"/>
                <w:szCs w:val="18"/>
              </w:rPr>
              <w:t xml:space="preserve">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w:t>
            </w:r>
            <w:r>
              <w:rPr>
                <w:rFonts w:cs="Times New Roman"/>
                <w:b/>
              </w:rPr>
              <w:t>negativas</w:t>
            </w:r>
            <w:r>
              <w:rPr>
                <w:rFonts w:cs="Times New Roman"/>
              </w:rPr>
              <w:t xml:space="preserve"> tributos </w:t>
            </w:r>
            <w:r>
              <w:rPr>
                <w:rFonts w:cs="Times New Roman"/>
                <w:u w:val="single"/>
              </w:rPr>
              <w:t>municipais</w:t>
            </w:r>
            <w:r>
              <w:rPr>
                <w:rFonts w:cs="Times New Roman"/>
              </w:rPr>
              <w:t>, incidentes sobre o imóvel e sobre o contribuinte.</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Prefeitura Municipal (Praça Getúlio Vargas, 18,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w:t>
            </w:r>
            <w:r>
              <w:rPr>
                <w:rFonts w:cs="Times New Roman"/>
                <w:b/>
              </w:rPr>
              <w:t>negativas</w:t>
            </w:r>
            <w:r>
              <w:rPr>
                <w:rFonts w:cs="Times New Roman"/>
              </w:rPr>
              <w:t xml:space="preserve"> de ações reais referentes ao imóvel, pelo período de 10 (dez) anos </w:t>
            </w:r>
            <w:r>
              <w:rPr>
                <w:rStyle w:val="Ncoradanotaderodap"/>
                <w:rFonts w:cs="Times New Roman"/>
              </w:rPr>
              <w:footnoteReference w:id="7"/>
            </w:r>
            <w:r>
              <w:rPr>
                <w:rFonts w:cs="Times New Roman"/>
              </w:rPr>
              <w:t xml:space="preserve">, não expedidas há mais de 3 (três) meses.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 18, III, b Lei 6.766</w:t>
            </w:r>
          </w:p>
          <w:p>
            <w:pPr>
              <w:pStyle w:val="NoSpacing"/>
              <w:ind w:left="-35" w:right="-78" w:hanging="0"/>
              <w:jc w:val="both"/>
              <w:rPr/>
            </w:pPr>
            <w:r>
              <w:rPr>
                <w:rFonts w:eastAsia="Calibri" w:cs="Times New Roman"/>
                <w:color w:val="00000A"/>
                <w:kern w:val="0"/>
                <w:sz w:val="18"/>
                <w:szCs w:val="18"/>
                <w:lang w:val="en-US" w:eastAsia="en-US" w:bidi="ar-SA"/>
              </w:rPr>
              <w:t>§1° Art. 1.002, Prov.93</w:t>
            </w:r>
            <w:r>
              <w:rPr>
                <w:rFonts w:cs="Times New Roman"/>
                <w:sz w:val="18"/>
                <w:szCs w:val="18"/>
                <w:lang w:val="en-US"/>
              </w:rPr>
              <w:t xml:space="preserve"> </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Secretaria Judicial - fórum (Praça Getúlio Vargas, 39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w:t>
            </w:r>
            <w:r>
              <w:rPr>
                <w:rFonts w:cs="Times New Roman"/>
                <w:b/>
              </w:rPr>
              <w:t>negativas</w:t>
            </w:r>
            <w:r>
              <w:rPr>
                <w:rFonts w:cs="Times New Roman"/>
              </w:rPr>
              <w:t xml:space="preserve"> de ações penais com respeito ao crime contra o patrimônio e contra a Administração Pública, não expedidas há mais de 3 (três) meses. </w:t>
            </w:r>
            <w:r>
              <w:rPr>
                <w:rStyle w:val="Ncoradanotaderodap"/>
                <w:rFonts w:cs="Times New Roman"/>
              </w:rPr>
              <w:footnoteReference w:id="8"/>
            </w:r>
            <w:r>
              <w:rPr>
                <w:rFonts w:cs="Times New Roman"/>
              </w:rPr>
              <w:t xml:space="preserve"> </w:t>
            </w:r>
            <w:r>
              <w:rPr>
                <w:rStyle w:val="Ncoradanotaderodap"/>
                <w:rFonts w:cs="Times New Roman"/>
              </w:rPr>
              <w:footnoteReference w:id="9"/>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 18, III, c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III, b</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rPr>
                <w:rFonts w:cs="Times New Roman"/>
                <w:sz w:val="18"/>
                <w:szCs w:val="18"/>
              </w:rPr>
            </w:pPr>
            <w:r>
              <w:rPr>
                <w:rFonts w:cs="Times New Roman"/>
                <w:sz w:val="18"/>
                <w:szCs w:val="18"/>
              </w:rPr>
              <w:t>Secretaria Judicial - fórum (Praça Getúlio Vargas, 39 – S.A.Monte)</w:t>
            </w:r>
          </w:p>
          <w:p>
            <w:pPr>
              <w:pStyle w:val="Normal"/>
              <w:spacing w:lineRule="auto" w:line="240" w:before="0" w:after="0"/>
              <w:rPr>
                <w:rFonts w:cs="Times New Roman"/>
                <w:sz w:val="18"/>
                <w:szCs w:val="18"/>
              </w:rPr>
            </w:pPr>
            <w:r>
              <w:rPr>
                <w:rFonts w:cs="Times New Roman"/>
                <w:sz w:val="18"/>
                <w:szCs w:val="18"/>
              </w:rPr>
              <w:t>Capital do Estado (foro privilegiado)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dos cartórios de protestos de títulos, em nome do loteador, pelo período de 10 (dez) anos, não expedidas há mais de 3 (três) meses. </w:t>
            </w:r>
            <w:r>
              <w:rPr>
                <w:rStyle w:val="Ncoradanotaderodap"/>
                <w:rFonts w:cs="Times New Roman"/>
              </w:rPr>
              <w:footnoteReference w:id="10"/>
            </w:r>
            <w:r>
              <w:rPr>
                <w:rFonts w:cs="Times New Roman"/>
              </w:rPr>
              <w:t xml:space="preserve"> </w:t>
            </w:r>
            <w:r>
              <w:rPr>
                <w:rStyle w:val="Ncoradanotaderodap"/>
                <w:rFonts w:cs="Times New Roman"/>
              </w:rPr>
              <w:footnoteReference w:id="11"/>
            </w:r>
            <w:r>
              <w:rPr>
                <w:rFonts w:cs="Times New Roman"/>
              </w:rPr>
              <w:t xml:space="preserve">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 18, IV, a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 xml:space="preserve">996, </w:t>
            </w:r>
            <w:r>
              <w:rPr>
                <w:rFonts w:eastAsia="Calibri" w:cs="Times New Roman"/>
                <w:color w:val="00000A"/>
                <w:kern w:val="0"/>
                <w:sz w:val="18"/>
                <w:szCs w:val="18"/>
                <w:lang w:val="en-US" w:eastAsia="en-US" w:bidi="ar-SA"/>
              </w:rPr>
              <w:t>IV</w:t>
            </w:r>
            <w:r>
              <w:rPr>
                <w:rFonts w:cs="Times New Roman"/>
                <w:color w:val="00000A"/>
                <w:sz w:val="18"/>
                <w:szCs w:val="18"/>
                <w:lang w:val="en-US"/>
              </w:rPr>
              <w:t>, b</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rPr>
                <w:sz w:val="18"/>
                <w:szCs w:val="18"/>
              </w:rPr>
            </w:pPr>
            <w:r>
              <w:rPr>
                <w:sz w:val="18"/>
                <w:szCs w:val="18"/>
              </w:rPr>
              <w:t>Cartórios de Protestos de Títulos (Rua Getúlio Vargas, n° 77 – Sala 307, Centro,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de feitos da Justiça Estadual (cíveis e criminal) – 1ª Instância,  relativas ao loteador, pelo período de 10 (dez) anos, não expedidas há mais de 3 (três) meses. </w:t>
            </w:r>
            <w:r>
              <w:rPr>
                <w:rStyle w:val="Ncoradanotaderodap"/>
                <w:rFonts w:cs="Times New Roman"/>
              </w:rPr>
              <w:footnoteReference w:id="12"/>
            </w:r>
            <w:r>
              <w:rPr>
                <w:rFonts w:cs="Times New Roman"/>
              </w:rPr>
              <w:t xml:space="preserve">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Secretaria Judicial - fórum (Praça Getúlio Vargas, s/n°,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Certidões de feitos da Justiça estadual (cíveis e criminais) – 2ª Instância, relativas ao loteador, pelo período de 10 (dez) anos, não expedidas há mais de 3 (três) meses.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2">
              <w:r>
                <w:rPr>
                  <w:rStyle w:val="LinkdaInternet"/>
                  <w:rFonts w:cs="Times New Roman"/>
                  <w:sz w:val="18"/>
                  <w:szCs w:val="18"/>
                  <w:lang w:val="en-US"/>
                </w:rPr>
                <w:t>http://www8.tjmg.jus.br/certidaoJudicial/faces/emitirCertidao.xhtml</w:t>
              </w:r>
            </w:hyperlink>
          </w:p>
          <w:p>
            <w:pPr>
              <w:pStyle w:val="NoSpacing"/>
              <w:rPr>
                <w:rFonts w:cs="Times New Roman"/>
                <w:sz w:val="18"/>
                <w:szCs w:val="18"/>
                <w:lang w:val="en-US"/>
              </w:rPr>
            </w:pPr>
            <w:r>
              <w:rPr>
                <w:rFonts w:cs="Times New Roman"/>
                <w:sz w:val="18"/>
                <w:szCs w:val="18"/>
                <w:lang w:val="en-US"/>
              </w:rPr>
            </w:r>
          </w:p>
        </w:tc>
      </w:tr>
      <w:tr>
        <w:trPr/>
        <w:tc>
          <w:tcPr>
            <w:tcW w:w="429"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 xml:space="preserve">Certidões de feitos dos Juizados Especiais Estaduais </w:t>
            </w:r>
          </w:p>
        </w:tc>
        <w:tc>
          <w:tcPr>
            <w:tcW w:w="1934" w:type="dxa"/>
            <w:tcBorders>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left w:val="single" w:sz="4" w:space="0" w:color="00000A"/>
              <w:bottom w:val="single" w:sz="4" w:space="0" w:color="00000A"/>
              <w:right w:val="single" w:sz="4" w:space="0" w:color="00000A"/>
            </w:tcBorders>
            <w:shd w:color="auto" w:fill="FFFFFF" w:val="clear"/>
          </w:tcPr>
          <w:p>
            <w:pPr>
              <w:pStyle w:val="NoSpacing"/>
              <w:spacing w:lineRule="auto" w:line="240"/>
              <w:rPr/>
            </w:pPr>
            <w:hyperlink r:id="rId13">
              <w:r>
                <w:rPr>
                  <w:rStyle w:val="LinkdaInternet"/>
                  <w:rFonts w:cs="Times New Roman"/>
                  <w:sz w:val="20"/>
                  <w:szCs w:val="20"/>
                  <w:lang w:val="en-US"/>
                </w:rPr>
                <w:t>http://www8.tjmg.jus.br/certidaoJudicial/faces/emitirCertidao.xhtml</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lang w:val="en-US"/>
              </w:rPr>
            </w:pPr>
            <w:r>
              <w:rPr>
                <w:rFonts w:cs="Times New Roman"/>
                <w:lang w:val="en-US"/>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color w:val="00000A"/>
                <w:sz w:val="18"/>
                <w:szCs w:val="18"/>
                <w:lang w:val="en-US"/>
              </w:rPr>
            </w:pPr>
            <w:r>
              <w:rPr>
                <w:rFonts w:cs="Times New Roman"/>
              </w:rPr>
              <w:t xml:space="preserve">Certidões de feitos da Justiça Federal (cíveis e criminais) relativas ao loteador, pelo período de 10 (dez) anos, não expedidas há mais de 3 (três) meses.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4">
              <w:r>
                <w:rPr>
                  <w:rStyle w:val="LinkdaInternet"/>
                  <w:rFonts w:cs="Times New Roman"/>
                  <w:sz w:val="18"/>
                  <w:szCs w:val="18"/>
                  <w:lang w:val="en-US"/>
                </w:rPr>
                <w:t>http://www.trf1.jus.br/Servicos/Certidao/</w:t>
              </w:r>
            </w:hyperlink>
          </w:p>
          <w:p>
            <w:pPr>
              <w:pStyle w:val="NoSpacing"/>
              <w:rPr>
                <w:rFonts w:cs="Times New Roman"/>
                <w:sz w:val="18"/>
                <w:szCs w:val="18"/>
                <w:lang w:val="en-US"/>
              </w:rPr>
            </w:pPr>
            <w:r>
              <w:rPr>
                <w:rFonts w:cs="Times New Roman"/>
                <w:sz w:val="18"/>
                <w:szCs w:val="18"/>
                <w:lang w:val="en-US"/>
              </w:rPr>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lang w:val="en-US"/>
              </w:rPr>
            </w:pPr>
            <w:r>
              <w:rPr>
                <w:rFonts w:cs="Times New Roman"/>
                <w:lang w:val="en-US"/>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de feitos dos Juizados Especiais </w:t>
            </w:r>
            <w:r>
              <w:rPr>
                <w:rFonts w:eastAsia="Calibri" w:cs="Times New Roman"/>
                <w:color w:val="00000A"/>
                <w:kern w:val="0"/>
                <w:sz w:val="22"/>
                <w:szCs w:val="22"/>
                <w:lang w:val="pt-BR" w:eastAsia="en-US" w:bidi="ar-SA"/>
              </w:rPr>
              <w:t>Federais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5">
              <w:r>
                <w:rPr>
                  <w:rStyle w:val="LinkdaInternet"/>
                  <w:rFonts w:cs="Times New Roman"/>
                  <w:sz w:val="18"/>
                  <w:szCs w:val="18"/>
                  <w:lang w:val="en-US"/>
                </w:rPr>
                <w:t>http://www.trf1.jus.br/Servicos/Certidao/</w:t>
              </w:r>
            </w:hyperlink>
          </w:p>
        </w:tc>
      </w:tr>
      <w:tr>
        <w:trPr/>
        <w:tc>
          <w:tcPr>
            <w:tcW w:w="429"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lang w:val="en-US"/>
              </w:rPr>
            </w:pPr>
            <w:r>
              <w:rPr>
                <w:rFonts w:cs="Times New Roman"/>
                <w:lang w:val="en-US"/>
              </w:rPr>
            </w:r>
          </w:p>
        </w:tc>
        <w:tc>
          <w:tcPr>
            <w:tcW w:w="6996" w:type="dxa"/>
            <w:tcBorders>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de feitos ajuizados na justiça do trabalho (1° e 2° Instâncias) relativas ao loteador, pelo período de 10 (dez) anos, não expedidas há mais de 3 (três) meses. </w:t>
            </w:r>
          </w:p>
        </w:tc>
        <w:tc>
          <w:tcPr>
            <w:tcW w:w="1934" w:type="dxa"/>
            <w:tcBorders>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left w:val="single" w:sz="4" w:space="0" w:color="00000A"/>
              <w:bottom w:val="single" w:sz="4" w:space="0" w:color="00000A"/>
              <w:right w:val="single" w:sz="4" w:space="0" w:color="00000A"/>
            </w:tcBorders>
            <w:shd w:color="auto" w:fill="FFFFFF" w:val="clear"/>
          </w:tcPr>
          <w:p>
            <w:pPr>
              <w:pStyle w:val="NoSpacing"/>
              <w:rPr/>
            </w:pPr>
            <w:hyperlink r:id="rId16">
              <w:r>
                <w:rPr>
                  <w:rStyle w:val="LinkdaInternet"/>
                  <w:rFonts w:cs="Times New Roman"/>
                  <w:sz w:val="18"/>
                  <w:szCs w:val="18"/>
                  <w:lang w:val="en-US"/>
                </w:rPr>
                <w:t>http://as3.trt3.jus.br/certidao/feitosTrabalhistas/aba1.emissao.htm</w:t>
              </w:r>
            </w:hyperlink>
          </w:p>
          <w:p>
            <w:pPr>
              <w:pStyle w:val="NoSpacing"/>
              <w:rPr/>
            </w:pPr>
            <w:r>
              <w:rPr>
                <w:rFonts w:cs="Times New Roman"/>
                <w:sz w:val="18"/>
                <w:szCs w:val="18"/>
              </w:rPr>
              <w:t>ou Secretaria Judicial - fórum (Praça Getúlio Vargas, 39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Certidão Negativa de Débitos Trabalhistas – CNDT - relativas ao loteador, pelo período de 10 (dez) anos, não expedidas há mais de 3 (três) meses.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7">
              <w:r>
                <w:rPr>
                  <w:rStyle w:val="LinkdaInternet"/>
                  <w:rFonts w:cs="Times New Roman"/>
                  <w:sz w:val="18"/>
                  <w:szCs w:val="18"/>
                  <w:lang w:val="en-US"/>
                </w:rPr>
                <w:t>http://www.tst.jus.br/certidao</w:t>
              </w:r>
            </w:hyperlink>
          </w:p>
          <w:p>
            <w:pPr>
              <w:pStyle w:val="NoSpacing"/>
              <w:rPr>
                <w:rFonts w:cs="Times New Roman"/>
                <w:sz w:val="18"/>
                <w:szCs w:val="18"/>
                <w:lang w:val="en-US"/>
              </w:rPr>
            </w:pPr>
            <w:r>
              <w:rPr>
                <w:rFonts w:cs="Times New Roman"/>
                <w:sz w:val="18"/>
                <w:szCs w:val="18"/>
                <w:lang w:val="en-US"/>
              </w:rPr>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lang w:val="en-US"/>
              </w:rPr>
            </w:pPr>
            <w:r>
              <w:rPr>
                <w:rFonts w:cs="Times New Roman"/>
                <w:lang w:val="en-US"/>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Exemplar do contrato padrão de promessa de venda, ou de cessão ou de promessa de cessão, do qual constarão obrigatoriamente as indicações previstas no art. 26 desta Lei 6.766/79. </w:t>
            </w:r>
            <w:r>
              <w:rPr>
                <w:rStyle w:val="Ncoradanotaderodap"/>
                <w:rFonts w:cs="Times New Roman"/>
              </w:rPr>
              <w:footnoteReference w:id="13"/>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VI,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w:t>
            </w:r>
            <w:r>
              <w:rPr>
                <w:rFonts w:cs="Times New Roman"/>
                <w:sz w:val="18"/>
                <w:szCs w:val="18"/>
                <w:lang w:val="en-US"/>
              </w:rPr>
              <w:t xml:space="preserve">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Próprio loteador ou Cartório de Notas</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Declaração do cônjuge do requerente de que consente no registro do loteamento. </w:t>
            </w:r>
            <w:r>
              <w:rPr>
                <w:rStyle w:val="Ncoradanotaderodap"/>
                <w:rFonts w:cs="Times New Roman"/>
              </w:rPr>
              <w:footnoteReference w:id="14"/>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VII,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VII,</w:t>
            </w:r>
            <w:r>
              <w:rPr>
                <w:rFonts w:cs="Times New Roman"/>
                <w:sz w:val="18"/>
                <w:szCs w:val="18"/>
                <w:lang w:val="en-US"/>
              </w:rPr>
              <w:t xml:space="preserve">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 xml:space="preserve">Loteador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Planta do empreendimento (ver § 1°, artigo 9 lei 6.766/79), (duas (02) plotagens em papel “sulfite”, assinada por responsável técnico, devidamente aprovada pela Prefeitura Municipal)</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9°. Lei 6.766</w:t>
            </w:r>
          </w:p>
          <w:p>
            <w:pPr>
              <w:pStyle w:val="NoSpacing"/>
              <w:spacing w:lineRule="auto" w:line="240"/>
              <w:ind w:left="-35" w:right="-78" w:hanging="0"/>
              <w:jc w:val="both"/>
              <w:rPr/>
            </w:pPr>
            <w:r>
              <w:rPr>
                <w:rFonts w:cs="Times New Roman"/>
                <w:sz w:val="18"/>
                <w:szCs w:val="18"/>
                <w:lang w:val="en-US"/>
              </w:rPr>
              <w:t xml:space="preserve">Art. </w:t>
            </w:r>
            <w:r>
              <w:rPr>
                <w:rFonts w:eastAsia="Calibri" w:cs="Times New Roman"/>
                <w:color w:val="00000A"/>
                <w:kern w:val="0"/>
                <w:sz w:val="18"/>
                <w:szCs w:val="18"/>
                <w:lang w:val="en-US" w:eastAsia="en-US" w:bidi="ar-SA"/>
              </w:rPr>
              <w:t>988</w:t>
            </w:r>
            <w:r>
              <w:rPr>
                <w:rFonts w:cs="Times New Roman"/>
                <w:sz w:val="18"/>
                <w:szCs w:val="18"/>
                <w:lang w:val="en-US"/>
              </w:rPr>
              <w:t xml:space="preserve"> Prov.</w:t>
            </w:r>
            <w:r>
              <w:rPr>
                <w:rFonts w:cs="Times New Roman"/>
                <w:color w:val="00000A"/>
                <w:sz w:val="18"/>
                <w:szCs w:val="18"/>
                <w:lang w:val="en-US"/>
              </w:rPr>
              <w:t>93/2020</w:t>
            </w:r>
            <w:r>
              <w:rPr>
                <w:rFonts w:cs="Times New Roman"/>
                <w:sz w:val="18"/>
                <w:szCs w:val="18"/>
                <w:lang w:val="en-US"/>
              </w:rPr>
              <w:t>.</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 xml:space="preserve">Responsável técnico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ART/CREA ou RRT/CAU, relativamente aos projetos e os correspondentes comprovantes de pagamento, quando a anotação o exigir</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8</w:t>
            </w:r>
            <w:r>
              <w:rPr>
                <w:rFonts w:cs="Times New Roman"/>
                <w:sz w:val="18"/>
                <w:szCs w:val="18"/>
              </w:rPr>
              <w:t>95. Prov.</w:t>
            </w:r>
            <w:r>
              <w:rPr>
                <w:rFonts w:cs="Times New Roman"/>
                <w:color w:val="00000A"/>
                <w:sz w:val="18"/>
                <w:szCs w:val="18"/>
              </w:rPr>
              <w:t>93</w:t>
            </w:r>
          </w:p>
          <w:p>
            <w:pPr>
              <w:pStyle w:val="NoSpacing"/>
              <w:ind w:left="-35" w:right="-78" w:hanging="0"/>
              <w:jc w:val="both"/>
              <w:rPr>
                <w:rFonts w:cs="Times New Roman"/>
                <w:sz w:val="18"/>
                <w:szCs w:val="18"/>
              </w:rPr>
            </w:pPr>
            <w:r>
              <w:rPr>
                <w:rFonts w:cs="Times New Roman"/>
                <w:sz w:val="18"/>
                <w:szCs w:val="18"/>
              </w:rPr>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color w:val="000000"/>
                <w:sz w:val="18"/>
                <w:szCs w:val="18"/>
                <w:u w:val="none"/>
              </w:rPr>
            </w:pPr>
            <w:r>
              <w:rPr>
                <w:rFonts w:cs="Times New Roman"/>
                <w:sz w:val="18"/>
                <w:szCs w:val="18"/>
              </w:rPr>
              <w:t>Responsável técnico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Memorial descritivo com indicação das vias, demarcações dos lotes, quadras, logradouros e obras de infraestrutura, devidamente assinado e rubricado por responsável técnico. (cópia em CD ou Pen Drive)</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rPr>
            </w:pPr>
            <w:r>
              <w:rPr>
                <w:rFonts w:cs="Times New Roman"/>
                <w:sz w:val="18"/>
                <w:szCs w:val="18"/>
              </w:rPr>
              <w:t>Art. 9°. Lei 6.766</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Responsável técnico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CD ou Pen Drive com croqui de localização do loteamento para publicação no jornal</w:t>
            </w:r>
            <w:r>
              <w:rPr>
                <w:rStyle w:val="Ncoradanotaderodap"/>
                <w:rFonts w:cs="Times New Roman"/>
              </w:rPr>
              <w:footnoteReference w:id="15"/>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rPr>
            </w:pPr>
            <w:r>
              <w:rPr>
                <w:rFonts w:cs="Times New Roman"/>
                <w:sz w:val="18"/>
                <w:szCs w:val="18"/>
              </w:rPr>
              <w:t>Art. 19.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1.005</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Responsável técnico</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Decreto do Poder Executivo, declarando que o empreendimento é integrante da Zona Especial de Urbanização para Chacreamento – ZEUC, com a finalidade especifica de implementação de chacreamento ou em Área de expansão urbana.</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7°, Lei 2.223/15</w:t>
            </w:r>
          </w:p>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982</w:t>
            </w:r>
            <w:r>
              <w:rPr>
                <w:rFonts w:cs="Times New Roman"/>
                <w:sz w:val="18"/>
                <w:szCs w:val="18"/>
              </w:rPr>
              <w:t>. Prov.</w:t>
            </w:r>
            <w:r>
              <w:rPr>
                <w:rFonts w:cs="Times New Roman"/>
                <w:color w:val="00000A"/>
                <w:sz w:val="18"/>
                <w:szCs w:val="18"/>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sz w:val="18"/>
                <w:szCs w:val="18"/>
              </w:rPr>
              <w:t>Prefeitura Municipal (</w:t>
            </w:r>
            <w:r>
              <w:rPr>
                <w:rFonts w:cs="Times New Roman"/>
                <w:color w:val="000000"/>
                <w:sz w:val="18"/>
                <w:szCs w:val="18"/>
              </w:rPr>
              <w:t>Praça Getúlio Vargas, 18, Centro - S.A.Monte</w:t>
            </w:r>
            <w:r>
              <w:rPr>
                <w:sz w:val="18"/>
                <w:szCs w:val="18"/>
              </w:rPr>
              <w:t>)</w:t>
            </w:r>
          </w:p>
        </w:tc>
      </w:tr>
      <w:tr>
        <w:trPr/>
        <w:tc>
          <w:tcPr>
            <w:tcW w:w="429"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Autorização do Instituto Nacional de Colonização e Reforma Agrária – INCRA, quando houver descaracterização de imóvel rural para urbano, caso ainda não averbada no cartório de registro de imóveis. </w:t>
            </w:r>
          </w:p>
        </w:tc>
        <w:tc>
          <w:tcPr>
            <w:tcW w:w="1934" w:type="dxa"/>
            <w:tcBorders>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53. </w:t>
            </w:r>
            <w:r>
              <w:rPr>
                <w:rFonts w:cs="Times New Roman"/>
                <w:sz w:val="18"/>
                <w:szCs w:val="18"/>
                <w:lang w:val="en-US"/>
              </w:rPr>
              <w:t xml:space="preserve">Lei 6.766 </w:t>
            </w:r>
          </w:p>
          <w:p>
            <w:pPr>
              <w:pStyle w:val="NoSpacing"/>
              <w:ind w:left="-35" w:right="-78" w:hanging="0"/>
              <w:jc w:val="both"/>
              <w:rPr>
                <w:rFonts w:cs="Times New Roman"/>
                <w:sz w:val="18"/>
                <w:szCs w:val="18"/>
                <w:lang w:val="en-US"/>
              </w:rPr>
            </w:pPr>
            <w:r>
              <w:rPr/>
            </w:r>
          </w:p>
        </w:tc>
        <w:tc>
          <w:tcPr>
            <w:tcW w:w="6253" w:type="dxa"/>
            <w:tcBorders>
              <w:left w:val="single" w:sz="4" w:space="0" w:color="00000A"/>
              <w:bottom w:val="single" w:sz="4" w:space="0" w:color="00000A"/>
              <w:right w:val="single" w:sz="4" w:space="0" w:color="00000A"/>
            </w:tcBorders>
            <w:shd w:color="auto" w:fill="FFFFFF" w:val="clear"/>
          </w:tcPr>
          <w:p>
            <w:pPr>
              <w:pStyle w:val="NoSpacing"/>
              <w:rPr/>
            </w:pPr>
            <w:r>
              <w:rPr>
                <w:rFonts w:cs="Times New Roman"/>
                <w:caps/>
                <w:sz w:val="18"/>
                <w:szCs w:val="18"/>
              </w:rPr>
              <w:t>Incra</w:t>
            </w:r>
            <w:r>
              <w:rPr>
                <w:rFonts w:cs="Times New Roman"/>
                <w:sz w:val="18"/>
                <w:szCs w:val="18"/>
              </w:rPr>
              <w:t>-BH (Av. Afonso Pena, 3500 - Cruzeiro, Belo Horizonte)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Lei municipal de Aprovação do Loteamento Rural, de iniciativa do Poder Executivo, apresentada em 120 (cento e vinte) dias da data da aprovação, sob pena de caducidade.</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 xml:space="preserve">Art. 18. Lei 6.766 </w:t>
            </w:r>
          </w:p>
          <w:p>
            <w:pPr>
              <w:pStyle w:val="NoSpacing"/>
              <w:ind w:left="-35" w:right="-78" w:hanging="0"/>
              <w:jc w:val="both"/>
              <w:rPr>
                <w:rFonts w:cs="Times New Roman"/>
                <w:sz w:val="18"/>
                <w:szCs w:val="18"/>
                <w:lang w:val="en-US"/>
              </w:rPr>
            </w:pPr>
            <w:r>
              <w:rPr>
                <w:rFonts w:cs="Times New Roman"/>
                <w:sz w:val="18"/>
                <w:szCs w:val="18"/>
                <w:lang w:val="en-US"/>
              </w:rPr>
              <w:t>Art. 2°, d Lei 1.606</w:t>
            </w:r>
          </w:p>
          <w:p>
            <w:pPr>
              <w:pStyle w:val="NoSpacing"/>
              <w:ind w:left="-35" w:right="-78" w:hanging="0"/>
              <w:jc w:val="both"/>
              <w:rPr/>
            </w:pPr>
            <w:r>
              <w:rPr>
                <w:rFonts w:cs="Times New Roman"/>
                <w:sz w:val="18"/>
                <w:szCs w:val="18"/>
                <w:lang w:val="en-US"/>
              </w:rPr>
              <w:t>Art.21 a 23 da lei1.606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w:t>
            </w:r>
            <w:r>
              <w:rPr>
                <w:rFonts w:cs="Times New Roman"/>
                <w:sz w:val="18"/>
                <w:szCs w:val="18"/>
                <w:lang w:val="en-US"/>
              </w:rPr>
              <w:t xml:space="preserve"> Prov.</w:t>
            </w:r>
            <w:r>
              <w:rPr>
                <w:rFonts w:cs="Times New Roman"/>
                <w:color w:val="00000A"/>
                <w:sz w:val="18"/>
                <w:szCs w:val="18"/>
                <w:lang w:val="en-US"/>
              </w:rPr>
              <w:t>93/2020</w:t>
            </w:r>
          </w:p>
          <w:p>
            <w:pPr>
              <w:pStyle w:val="NoSpacing"/>
              <w:spacing w:lineRule="auto" w:line="240"/>
              <w:ind w:left="-35" w:right="-78" w:hanging="0"/>
              <w:jc w:val="both"/>
              <w:rPr/>
            </w:pPr>
            <w:bookmarkStart w:id="3" w:name="__DdeLink__1821_988781927"/>
            <w:r>
              <w:rPr>
                <w:rFonts w:cs="Times New Roman"/>
                <w:sz w:val="18"/>
                <w:szCs w:val="18"/>
                <w:lang w:val="en-US"/>
              </w:rPr>
              <w:t xml:space="preserve">Art. </w:t>
            </w:r>
            <w:r>
              <w:rPr>
                <w:rFonts w:eastAsia="Calibri" w:cs="Times New Roman"/>
                <w:color w:val="00000A"/>
                <w:kern w:val="0"/>
                <w:sz w:val="18"/>
                <w:szCs w:val="18"/>
                <w:lang w:val="en-US" w:eastAsia="en-US" w:bidi="ar-SA"/>
              </w:rPr>
              <w:t>983</w:t>
            </w:r>
            <w:r>
              <w:rPr>
                <w:rFonts w:cs="Times New Roman"/>
                <w:sz w:val="18"/>
                <w:szCs w:val="18"/>
                <w:lang w:val="en-US"/>
              </w:rPr>
              <w:t xml:space="preserve"> Prov.</w:t>
            </w:r>
            <w:r>
              <w:rPr>
                <w:rFonts w:cs="Times New Roman"/>
                <w:color w:val="00000A"/>
                <w:sz w:val="18"/>
                <w:szCs w:val="18"/>
                <w:lang w:val="en-US"/>
              </w:rPr>
              <w:t>93/2020</w:t>
            </w:r>
            <w:bookmarkEnd w:id="3"/>
          </w:p>
          <w:p>
            <w:pPr>
              <w:pStyle w:val="NoSpacing"/>
              <w:spacing w:lineRule="auto" w:line="240"/>
              <w:ind w:left="-35" w:right="-78" w:hanging="0"/>
              <w:jc w:val="both"/>
              <w:rPr/>
            </w:pPr>
            <w:r>
              <w:rPr>
                <w:rFonts w:cs="Times New Roman"/>
                <w:color w:val="00000A"/>
                <w:sz w:val="18"/>
                <w:szCs w:val="18"/>
                <w:lang w:val="en-US"/>
              </w:rPr>
              <w:t xml:space="preserve">Art. </w:t>
            </w:r>
            <w:r>
              <w:rPr>
                <w:rFonts w:eastAsia="Calibri" w:cs="Times New Roman"/>
                <w:color w:val="00000A"/>
                <w:kern w:val="0"/>
                <w:sz w:val="18"/>
                <w:szCs w:val="18"/>
                <w:lang w:val="en-US" w:eastAsia="en-US" w:bidi="ar-SA"/>
              </w:rPr>
              <w:t>1.088</w:t>
            </w:r>
            <w:r>
              <w:rPr>
                <w:rFonts w:cs="Times New Roman"/>
                <w:color w:val="00000A"/>
                <w:sz w:val="18"/>
                <w:szCs w:val="18"/>
                <w:lang w:val="en-US"/>
              </w:rPr>
              <w:t xml:space="preserve"> Prov.93/2020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color w:val="000000"/>
                <w:sz w:val="18"/>
                <w:szCs w:val="18"/>
              </w:rPr>
              <w:t xml:space="preserve">Câmara Municipal </w:t>
            </w:r>
            <w:r>
              <w:rPr>
                <w:rFonts w:cs="Times New Roman"/>
                <w:color w:val="000000"/>
                <w:sz w:val="18"/>
                <w:szCs w:val="18"/>
              </w:rPr>
              <w:t>(Praça Getúlio Vargas, 18,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Anuência do INCRA observado a Instrução n° 17-B/80</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 xml:space="preserve">Instrução n° 17-B de 22.12.1980 </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8">
              <w:r>
                <w:rPr>
                  <w:rStyle w:val="LinkdaInternet"/>
                  <w:sz w:val="18"/>
                  <w:szCs w:val="18"/>
                  <w:lang w:val="en-US"/>
                </w:rPr>
                <w:t>http://www.condepefidem.pe.gov.br/c/document_library/get_file?p_l_id=20002&amp;folderId=142737&amp;name=DLFE-12378.pdf</w:t>
              </w:r>
            </w:hyperlink>
            <w:r>
              <w:rPr>
                <w:sz w:val="18"/>
                <w:szCs w:val="18"/>
                <w:lang w:val="en-US"/>
              </w:rPr>
              <w:t xml:space="preserve">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lang w:val="en-US"/>
              </w:rPr>
            </w:pPr>
            <w:r>
              <w:rPr>
                <w:rFonts w:cs="Times New Roman"/>
                <w:lang w:val="en-US"/>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Parecer de cumprimento das normas ambientais, áreas verdes, áreas de protestação ambiental, emitido pela Secretaria Municipal de Meio Ambiente. apresentada em 180 (cento e oitenta) dias da data da aprovação, sob pena de caducidade.</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Art.16 a 18 da lei1.606</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sz w:val="18"/>
                <w:szCs w:val="18"/>
              </w:rPr>
              <w:t xml:space="preserve">Rua Francisco Cândido, n° 97 – Sala 05 – 2 Piso – </w:t>
            </w:r>
            <w:r>
              <w:rPr>
                <w:color w:val="181818"/>
                <w:sz w:val="18"/>
                <w:szCs w:val="18"/>
              </w:rPr>
              <w:t>(Prédio da Rodoviária)</w:t>
            </w:r>
            <w:r>
              <w:rPr>
                <w:sz w:val="18"/>
                <w:szCs w:val="18"/>
              </w:rPr>
              <w:t xml:space="preserve"> </w:t>
            </w:r>
            <w:r>
              <w:rPr>
                <w:rFonts w:cs="Times New Roman"/>
                <w:sz w:val="18"/>
                <w:szCs w:val="18"/>
              </w:rPr>
              <w:t xml:space="preserve"> – S.A.Monte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Licença Ambiental emitido pelo </w:t>
            </w:r>
            <w:bookmarkStart w:id="4" w:name="__DdeLink__481_16587990"/>
            <w:r>
              <w:rPr>
                <w:rFonts w:cs="Times New Roman"/>
              </w:rPr>
              <w:t>Conselho Municipal de Desenvolvimento Ambiental -</w:t>
            </w:r>
            <w:bookmarkEnd w:id="4"/>
            <w:r>
              <w:rPr>
                <w:rFonts w:cs="Times New Roman"/>
              </w:rPr>
              <w:t xml:space="preserve"> </w:t>
            </w:r>
            <w:bookmarkStart w:id="5" w:name="__UnoMark__1094_1829798940"/>
            <w:bookmarkEnd w:id="5"/>
            <w:r>
              <w:rPr>
                <w:rFonts w:cs="Times New Roman"/>
              </w:rPr>
              <w:t>CODEMA</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lang w:val="en-US"/>
              </w:rPr>
            </w:pPr>
            <w:r>
              <w:rPr>
                <w:rFonts w:cs="Times New Roman"/>
                <w:sz w:val="18"/>
                <w:szCs w:val="18"/>
                <w:lang w:val="en-US"/>
              </w:rPr>
              <w:t>Art.18 a 20 da lei1.606</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Termo de Verificação de Execução das Obras de Infraestrutura </w:t>
            </w:r>
            <w:r>
              <w:rPr>
                <w:rFonts w:cs="Times New Roman"/>
                <w:b/>
                <w:bCs/>
              </w:rPr>
              <w:t>ou</w:t>
            </w:r>
            <w:r>
              <w:rPr>
                <w:rFonts w:cs="Times New Roman"/>
              </w:rPr>
              <w:t xml:space="preserve"> Cronograma</w:t>
            </w:r>
            <w:r>
              <w:rPr>
                <w:rStyle w:val="Ncoradanotaderodap"/>
                <w:rFonts w:cs="Times New Roman"/>
              </w:rPr>
              <w:footnoteReference w:id="16"/>
            </w:r>
            <w:r>
              <w:rPr>
                <w:rFonts w:cs="Times New Roman"/>
              </w:rPr>
              <w:t xml:space="preserve"> </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V, Lei 6.766</w:t>
            </w:r>
          </w:p>
          <w:p>
            <w:pPr>
              <w:pStyle w:val="NoSpacing"/>
              <w:ind w:left="-35" w:right="-78" w:hanging="0"/>
              <w:jc w:val="both"/>
              <w:rPr/>
            </w:pPr>
            <w:r>
              <w:rPr>
                <w:rFonts w:cs="Times New Roman"/>
                <w:sz w:val="18"/>
                <w:szCs w:val="18"/>
              </w:rPr>
              <w:t>Art.1.004 Prov.93/2020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Prefeitura Municipal (Praça Getúlio Vargas, 18,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Termo de Caução/Instrumento de Garantia de Execução das Obras, nos termos do Art. 25 da lei 1.606//2000.</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cs="Times New Roman"/>
                <w:sz w:val="18"/>
                <w:szCs w:val="18"/>
              </w:rPr>
            </w:pPr>
            <w:r>
              <w:rPr>
                <w:rFonts w:cs="Times New Roman"/>
                <w:sz w:val="18"/>
                <w:szCs w:val="18"/>
              </w:rPr>
              <w:t>Art. 18, V, Lei 6.766</w:t>
            </w:r>
          </w:p>
          <w:p>
            <w:pPr>
              <w:pStyle w:val="NoSpacing"/>
              <w:ind w:left="-35" w:right="-78" w:hanging="0"/>
              <w:jc w:val="both"/>
              <w:rPr>
                <w:rFonts w:cs="Times New Roman"/>
                <w:sz w:val="18"/>
                <w:szCs w:val="18"/>
              </w:rPr>
            </w:pPr>
            <w:r>
              <w:rPr>
                <w:rFonts w:cs="Times New Roman"/>
                <w:sz w:val="18"/>
                <w:szCs w:val="18"/>
              </w:rPr>
              <w:t>Art. 24 a 33, Lei 1.606</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Prefeitura Municipal (Praça Getúlio Vargas, 18, Centro - S.A.Monte)</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Para averbação das obras de construção (p.ex. portaria, clube, etc.): Habite-se e CND/INSS (necessária a apresentação somente quando a construção estiver concluída ou o alvará de construção com data vencida)</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lang w:val="en-US"/>
              </w:rPr>
              <w:t xml:space="preserve">Art. </w:t>
            </w:r>
            <w:r>
              <w:rPr>
                <w:rFonts w:eastAsia="Calibri" w:cs="Calibri" w:cstheme="minorHAnsi"/>
                <w:color w:val="00000A"/>
                <w:kern w:val="0"/>
                <w:sz w:val="18"/>
                <w:szCs w:val="18"/>
                <w:lang w:val="en-US" w:eastAsia="en-US" w:bidi="ar-SA"/>
              </w:rPr>
              <w:t>1.038</w:t>
            </w:r>
            <w:r>
              <w:rPr>
                <w:rFonts w:cs="Calibri" w:cstheme="minorHAnsi"/>
                <w:sz w:val="18"/>
                <w:szCs w:val="18"/>
                <w:lang w:val="en-US"/>
              </w:rPr>
              <w:t>. Prov.</w:t>
            </w:r>
            <w:r>
              <w:rPr>
                <w:rFonts w:eastAsia="Calibri" w:cs="Calibri" w:cstheme="minorHAnsi"/>
                <w:color w:val="00000A"/>
                <w:kern w:val="0"/>
                <w:sz w:val="18"/>
                <w:szCs w:val="18"/>
                <w:lang w:val="en-US" w:eastAsia="en-US" w:bidi="ar-SA"/>
              </w:rPr>
              <w:t>93/2020</w:t>
            </w:r>
            <w:r>
              <w:rPr>
                <w:rFonts w:cs="Calibri" w:cstheme="minorHAnsi"/>
                <w:sz w:val="18"/>
                <w:szCs w:val="18"/>
                <w:lang w:val="en-US"/>
              </w:rPr>
              <w:t xml:space="preserve"> </w:t>
            </w:r>
          </w:p>
          <w:p>
            <w:pPr>
              <w:pStyle w:val="NoSpacing"/>
              <w:ind w:left="-35" w:right="-78" w:hanging="0"/>
              <w:jc w:val="both"/>
              <w:rPr/>
            </w:pPr>
            <w:r>
              <w:rPr>
                <w:rFonts w:cs="Calibri" w:cstheme="minorHAnsi"/>
                <w:sz w:val="18"/>
                <w:szCs w:val="18"/>
                <w:lang w:val="en-US"/>
              </w:rPr>
              <w:t xml:space="preserve">Art. </w:t>
            </w:r>
            <w:r>
              <w:rPr>
                <w:rFonts w:eastAsia="Calibri" w:cs="Calibri" w:cstheme="minorHAnsi"/>
                <w:color w:val="00000A"/>
                <w:kern w:val="0"/>
                <w:sz w:val="18"/>
                <w:szCs w:val="18"/>
                <w:lang w:val="en-US" w:eastAsia="en-US" w:bidi="ar-SA"/>
              </w:rPr>
              <w:t>1.0</w:t>
            </w:r>
            <w:r>
              <w:rPr>
                <w:rFonts w:cs="Calibri" w:cstheme="minorHAnsi"/>
                <w:sz w:val="18"/>
                <w:szCs w:val="18"/>
                <w:lang w:val="en-US"/>
              </w:rPr>
              <w:t>40. Prov.</w:t>
            </w:r>
            <w:r>
              <w:rPr>
                <w:rFonts w:eastAsia="Calibri" w:cs="Calibri" w:cstheme="minorHAnsi"/>
                <w:color w:val="00000A"/>
                <w:kern w:val="0"/>
                <w:sz w:val="18"/>
                <w:szCs w:val="18"/>
                <w:lang w:val="en-US" w:eastAsia="en-US" w:bidi="ar-SA"/>
              </w:rPr>
              <w:t>93/2020</w:t>
            </w:r>
          </w:p>
          <w:p>
            <w:pPr>
              <w:pStyle w:val="NoSpacing"/>
              <w:spacing w:lineRule="auto" w:line="240"/>
              <w:ind w:left="-35" w:right="-78" w:hanging="0"/>
              <w:jc w:val="both"/>
              <w:rPr/>
            </w:pPr>
            <w:r>
              <w:rPr>
                <w:rFonts w:eastAsia="Calibri" w:cs="Times New Roman"/>
                <w:color w:val="00000A"/>
                <w:kern w:val="0"/>
                <w:sz w:val="18"/>
                <w:szCs w:val="18"/>
                <w:lang w:val="en-US" w:eastAsia="en-US" w:bidi="ar-SA"/>
              </w:rPr>
              <w:t xml:space="preserve">Art. </w:t>
            </w:r>
            <w:r>
              <w:rPr>
                <w:rFonts w:eastAsia="Calibri" w:cs="Times New Roman"/>
                <w:color w:val="00000A"/>
                <w:kern w:val="0"/>
                <w:sz w:val="18"/>
                <w:szCs w:val="18"/>
                <w:lang w:val="en-US" w:eastAsia="en-US" w:bidi="ar-SA"/>
              </w:rPr>
              <w:t>1.091.</w:t>
            </w:r>
            <w:r>
              <w:rPr>
                <w:rFonts w:eastAsia="Calibri" w:cs="Times New Roman"/>
                <w:color w:val="00000A"/>
                <w:kern w:val="0"/>
                <w:sz w:val="18"/>
                <w:szCs w:val="18"/>
                <w:lang w:val="en-US" w:eastAsia="en-US" w:bidi="ar-SA"/>
              </w:rPr>
              <w:t xml:space="preserve"> Prov.</w:t>
            </w:r>
            <w:r>
              <w:rPr>
                <w:rFonts w:eastAsia="Calibri" w:cs="Times New Roman"/>
                <w:color w:val="00000A"/>
                <w:kern w:val="0"/>
                <w:sz w:val="18"/>
                <w:szCs w:val="18"/>
                <w:lang w:val="en-US" w:eastAsia="en-US" w:bidi="ar-SA"/>
              </w:rPr>
              <w:t>93/2020</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sz w:val="20"/>
                <w:szCs w:val="20"/>
              </w:rPr>
              <w:t>Prefeitura Municipal (Praça Getúlio Vargas, 18, Centro - S.A.Monte) e INSS (Instituto Nacional do Seguro Social)</w:t>
            </w:r>
          </w:p>
        </w:tc>
      </w:tr>
      <w:tr>
        <w:trPr/>
        <w:tc>
          <w:tcPr>
            <w:tcW w:w="429"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left w:val="single" w:sz="4" w:space="0" w:color="00000A"/>
              <w:bottom w:val="single" w:sz="4" w:space="0" w:color="00000A"/>
              <w:right w:val="single" w:sz="4" w:space="0" w:color="00000A"/>
            </w:tcBorders>
            <w:shd w:color="auto" w:fill="FFFFFF" w:val="clear"/>
          </w:tcPr>
          <w:p>
            <w:pPr>
              <w:pStyle w:val="NoSpacing"/>
              <w:rPr/>
            </w:pPr>
            <w:r>
              <w:rPr/>
              <w:t>Declaração de que o empreendimento, respeitará uma distância mínima de 50 (cinquenta) metros das linhas limítrofes das Indústrias de Fogos de Artifício.</w:t>
            </w:r>
          </w:p>
        </w:tc>
        <w:tc>
          <w:tcPr>
            <w:tcW w:w="1934" w:type="dxa"/>
            <w:tcBorders>
              <w:left w:val="single" w:sz="4" w:space="0" w:color="00000A"/>
              <w:bottom w:val="single" w:sz="4" w:space="0" w:color="00000A"/>
              <w:right w:val="single" w:sz="4" w:space="0" w:color="00000A"/>
            </w:tcBorders>
            <w:shd w:color="auto" w:fill="FFFFFF" w:val="clear"/>
          </w:tcPr>
          <w:p>
            <w:pPr>
              <w:pStyle w:val="NoSpacing"/>
              <w:ind w:left="-35" w:right="-78" w:hanging="0"/>
              <w:rPr>
                <w:rFonts w:cs="Times New Roman"/>
                <w:sz w:val="18"/>
                <w:szCs w:val="18"/>
              </w:rPr>
            </w:pPr>
            <w:r>
              <w:rPr>
                <w:rFonts w:cs="Times New Roman"/>
                <w:sz w:val="18"/>
                <w:szCs w:val="18"/>
              </w:rPr>
              <w:t>Art. 1° da Lei 1.569</w:t>
            </w:r>
          </w:p>
        </w:tc>
        <w:tc>
          <w:tcPr>
            <w:tcW w:w="6253" w:type="dxa"/>
            <w:tcBorders>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 xml:space="preserve">Loteador </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Termo de Obrigação de empreendedor</w:t>
            </w:r>
            <w:r>
              <w:rPr>
                <w:rStyle w:val="Ncoradanotaderodap"/>
                <w:sz w:val="24"/>
                <w:szCs w:val="24"/>
              </w:rPr>
              <w:footnoteReference w:id="17"/>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rPr>
                <w:rFonts w:cs="Times New Roman"/>
                <w:sz w:val="18"/>
                <w:szCs w:val="18"/>
              </w:rPr>
            </w:pPr>
            <w:r>
              <w:rPr>
                <w:rFonts w:cs="Times New Roman"/>
                <w:sz w:val="18"/>
                <w:szCs w:val="18"/>
                <w:lang w:val="en-US"/>
              </w:rPr>
              <w:t>Art.24, V da lei2.223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Loteador</w:t>
            </w:r>
          </w:p>
        </w:tc>
      </w:tr>
      <w:tr>
        <w:trPr/>
        <w:tc>
          <w:tcPr>
            <w:tcW w:w="429"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cs="Times New Roman"/>
              </w:rPr>
            </w:pPr>
            <w:r>
              <w:rPr>
                <w:rFonts w:cs="Times New Roman"/>
              </w:rPr>
            </w:r>
          </w:p>
        </w:tc>
        <w:tc>
          <w:tcPr>
            <w:tcW w:w="6996"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Inscrição Municipal dos lotes</w:t>
            </w:r>
          </w:p>
        </w:tc>
        <w:tc>
          <w:tcPr>
            <w:tcW w:w="1934"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715</w:t>
            </w:r>
            <w:r>
              <w:rPr>
                <w:rFonts w:cs="Times New Roman"/>
                <w:sz w:val="18"/>
                <w:szCs w:val="18"/>
                <w:lang w:val="en-US"/>
              </w:rPr>
              <w:t>, IV.  Prov.</w:t>
            </w:r>
            <w:r>
              <w:rPr>
                <w:rFonts w:cs="Times New Roman"/>
                <w:color w:val="00000A"/>
                <w:sz w:val="18"/>
                <w:szCs w:val="18"/>
                <w:lang w:val="en-US"/>
              </w:rPr>
              <w:t>93</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787</w:t>
            </w:r>
            <w:r>
              <w:rPr>
                <w:rFonts w:cs="Times New Roman"/>
                <w:sz w:val="18"/>
                <w:szCs w:val="18"/>
                <w:lang w:val="en-US"/>
              </w:rPr>
              <w:t xml:space="preserve">, </w:t>
            </w:r>
            <w:r>
              <w:rPr>
                <w:rFonts w:cs="Times New Roman"/>
                <w:color w:val="00000A"/>
                <w:sz w:val="18"/>
                <w:szCs w:val="18"/>
                <w:lang w:val="en-US"/>
              </w:rPr>
              <w:t>III</w:t>
            </w:r>
            <w:r>
              <w:rPr>
                <w:rFonts w:cs="Times New Roman"/>
                <w:sz w:val="18"/>
                <w:szCs w:val="18"/>
                <w:lang w:val="en-US"/>
              </w:rPr>
              <w:t>.  Prov.</w:t>
            </w:r>
            <w:r>
              <w:rPr>
                <w:rFonts w:cs="Times New Roman"/>
                <w:color w:val="00000A"/>
                <w:sz w:val="18"/>
                <w:szCs w:val="18"/>
                <w:lang w:val="en-US"/>
              </w:rPr>
              <w:t>93</w:t>
            </w:r>
          </w:p>
        </w:tc>
        <w:tc>
          <w:tcPr>
            <w:tcW w:w="625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18"/>
                <w:szCs w:val="18"/>
              </w:rPr>
            </w:pPr>
            <w:r>
              <w:rPr>
                <w:rFonts w:cs="Times New Roman"/>
                <w:sz w:val="18"/>
                <w:szCs w:val="18"/>
              </w:rPr>
              <w:t>Prefeitura Municipal (Praça Getúlio Vargas, 18, Centro - S.A.Monte)</w:t>
            </w:r>
          </w:p>
        </w:tc>
      </w:tr>
    </w:tbl>
    <w:p>
      <w:pPr>
        <w:pStyle w:val="NoSpacing"/>
        <w:rPr>
          <w:rFonts w:cs="Times New Roman"/>
          <w:sz w:val="24"/>
          <w:szCs w:val="24"/>
        </w:rPr>
      </w:pPr>
      <w:r>
        <w:rPr>
          <w:rFonts w:cs="Times New Roman"/>
          <w:sz w:val="24"/>
          <w:szCs w:val="24"/>
        </w:rPr>
      </w:r>
    </w:p>
    <w:p>
      <w:pPr>
        <w:pStyle w:val="NoSpacing"/>
        <w:rPr>
          <w:rFonts w:cs="Times New Roman"/>
          <w:bCs/>
          <w:sz w:val="24"/>
          <w:szCs w:val="24"/>
        </w:rPr>
      </w:pPr>
      <w:r>
        <w:rPr>
          <w:rFonts w:cs="Times New Roman"/>
          <w:b/>
          <w:sz w:val="24"/>
          <w:szCs w:val="24"/>
        </w:rPr>
        <w:t xml:space="preserve">Atenção: </w:t>
      </w:r>
      <w:r>
        <w:rPr>
          <w:rFonts w:cs="Times New Roman"/>
          <w:bCs/>
          <w:sz w:val="24"/>
          <w:szCs w:val="24"/>
        </w:rPr>
        <w:t xml:space="preserve">Essa planilha não esgota todas as exigências que podem surgir no caso concreto, nem versa sobre todas as hipóteses de empreendimentos. </w:t>
      </w:r>
      <w:bookmarkStart w:id="6" w:name="_Hlk28337995"/>
      <w:bookmarkEnd w:id="6"/>
    </w:p>
    <w:p>
      <w:pPr>
        <w:pStyle w:val="NoSpacing"/>
        <w:rPr>
          <w:rFonts w:cs="Times New Roman"/>
          <w:bCs/>
          <w:sz w:val="24"/>
          <w:szCs w:val="24"/>
        </w:rPr>
      </w:pPr>
      <w:r>
        <w:rPr>
          <w:rFonts w:cs="Times New Roman"/>
          <w:bCs/>
          <w:sz w:val="24"/>
          <w:szCs w:val="24"/>
        </w:rPr>
      </w:r>
    </w:p>
    <w:p>
      <w:pPr>
        <w:pStyle w:val="NoSpacing"/>
        <w:rPr/>
      </w:pPr>
      <w:r>
        <w:rPr>
          <w:rFonts w:cs="Times New Roman"/>
          <w:b/>
          <w:sz w:val="24"/>
          <w:szCs w:val="24"/>
        </w:rPr>
        <w:t>Observação 1</w:t>
      </w:r>
      <w:r>
        <w:rPr>
          <w:rFonts w:cs="Times New Roman"/>
          <w:sz w:val="24"/>
          <w:szCs w:val="24"/>
        </w:rPr>
        <w:t>: Na hipótese de o imóvel objeto do parcelamento não se encontrar matriculado no registro geral, o proprietário deverá providenciar abertura de matrícula em seu nome, devendo esta descrever o imóvel com todas as características e confrontações anteriores ao parcelamento e, na matrícula aberta, o oficial de registro efetuará o registro do loteamento ou a averbação do desmembramento.</w:t>
      </w:r>
    </w:p>
    <w:p>
      <w:pPr>
        <w:pStyle w:val="NoSpacing"/>
        <w:rPr/>
      </w:pPr>
      <w:r>
        <w:rPr>
          <w:rFonts w:cs="Times New Roman"/>
          <w:b/>
          <w:sz w:val="24"/>
          <w:szCs w:val="24"/>
        </w:rPr>
        <w:t>Observação 2</w:t>
      </w:r>
      <w:r>
        <w:rPr>
          <w:rFonts w:cs="Times New Roman"/>
          <w:sz w:val="24"/>
          <w:szCs w:val="24"/>
        </w:rPr>
        <w:t>: Os documentos apresentados para registro do loteamento deverão vir, sempre que possível, no original, podendo ser aceitas vias autenticadas, Se o oficial de registro suspeitar da autenticidade de quaisquer das cópias apresentadas, poderá exigir a exibição do original.</w:t>
      </w:r>
    </w:p>
    <w:p>
      <w:pPr>
        <w:pStyle w:val="NoSpacing"/>
        <w:rPr/>
      </w:pPr>
      <w:r>
        <w:rPr>
          <w:rFonts w:cs="Times New Roman"/>
          <w:b/>
          <w:sz w:val="24"/>
          <w:szCs w:val="24"/>
        </w:rPr>
        <w:t>Observação 3</w:t>
      </w:r>
      <w:r>
        <w:rPr>
          <w:rFonts w:cs="Times New Roman"/>
          <w:sz w:val="24"/>
          <w:szCs w:val="24"/>
        </w:rPr>
        <w:t>: Os loteamentos ou desmembramentos requeridos pelas entidades político-administrativas (União, Estados e Municípios) estão sujeitos ao processo do registro especial, dispensando-se, porém, os documentos mencionados nos incisos II, III, IV e VII do art. 18 da Lei nº 6.766/1979.</w:t>
      </w:r>
    </w:p>
    <w:p>
      <w:pPr>
        <w:pStyle w:val="NoSpacing"/>
        <w:rPr/>
      </w:pPr>
      <w:r>
        <w:rPr/>
      </w:r>
    </w:p>
    <w:sectPr>
      <w:footerReference w:type="default" r:id="rId19"/>
      <w:footnotePr>
        <w:numFmt w:val="decimal"/>
      </w:footnotePr>
      <w:type w:val="nextPage"/>
      <w:pgSz w:orient="landscape" w:w="16838" w:h="11906"/>
      <w:pgMar w:left="720" w:right="720" w:header="0" w:top="720" w:footer="720" w:bottom="127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lineRule="auto" w:line="240" w:before="0" w:after="0"/>
        <w:rPr/>
      </w:pPr>
      <w:r>
        <w:rPr>
          <w:rStyle w:val="Caracteresdenotaderodap"/>
        </w:rPr>
        <w:footnoteRef/>
      </w:r>
      <w:r>
        <w:rPr>
          <w:rFonts w:asciiTheme="minorHAnsi" w:hAnsiTheme="minorHAnsi"/>
          <w:sz w:val="20"/>
          <w:szCs w:val="20"/>
        </w:rPr>
        <w:tab/>
        <w:t>Quando o loteador for pessoa jurídica, incumbirá ao oficial verificar, com base no estatuto social, a regularidade da representação societária, especialmente se a pessoa que está requerendo o registro tem poderes para tanto. Há necessidade de poderes especiais, não bastando os denominados “poderes para administração em geral”.</w:t>
      </w:r>
    </w:p>
  </w:footnote>
  <w:footnote w:id="3">
    <w:p>
      <w:pPr>
        <w:pStyle w:val="Notaderodap"/>
        <w:spacing w:lineRule="auto" w:line="240" w:before="0" w:after="0"/>
        <w:rPr/>
      </w:pPr>
      <w:r>
        <w:rPr>
          <w:rStyle w:val="Caracteresdenotaderodap"/>
        </w:rPr>
        <w:footnoteRef/>
      </w:r>
      <w:r>
        <w:rPr>
          <w:rStyle w:val="FootnoteCharacters"/>
          <w:rFonts w:asciiTheme="minorHAnsi" w:hAnsiTheme="minorHAnsi"/>
          <w:sz w:val="20"/>
          <w:szCs w:val="20"/>
        </w:rPr>
        <w:tab/>
      </w:r>
      <w:r>
        <w:rPr>
          <w:rFonts w:asciiTheme="minorHAnsi" w:hAnsiTheme="minorHAnsi"/>
          <w:sz w:val="20"/>
          <w:szCs w:val="20"/>
        </w:rPr>
        <w:t xml:space="preserve"> O histórico, exigido para o parcelamento e para a incorporação, não é a mera reprodução das certidões, mas um resumo ordenado da titularidade do bem. Esclarecerá, por exemplo, sobre as ações reais propostas e os respectivos documentos que mostrem seu resultado. </w:t>
      </w:r>
    </w:p>
  </w:footnote>
  <w:footnote w:id="4">
    <w:p>
      <w:pPr>
        <w:pStyle w:val="Notaderodap"/>
        <w:spacing w:before="0" w:after="0"/>
        <w:jc w:val="both"/>
        <w:rPr/>
      </w:pPr>
      <w:r>
        <w:rPr>
          <w:rStyle w:val="Caracteresdenotaderodap"/>
        </w:rPr>
        <w:footnoteRef/>
      </w:r>
      <w:r>
        <w:rPr>
          <w:rFonts w:cs="Times New Roman"/>
        </w:rPr>
        <w:t xml:space="preserve"> </w:t>
      </w:r>
      <w:r>
        <w:rPr>
          <w:rFonts w:cs="Times New Roman"/>
          <w:sz w:val="20"/>
          <w:szCs w:val="20"/>
        </w:rPr>
        <w:t>Será referente ao incorporador, em via original, fornecido por estabelecimento de crédito que opere no país há mais de 5 (cinco) anos, com firma do signatário reconhecida, bem como comprovada a sua representação (procuração ou substabelecimento que autorizam o subscritor a representar a instituição financeira declarante.)</w:t>
      </w:r>
    </w:p>
  </w:footnote>
  <w:footnote w:id="5">
    <w:p>
      <w:pPr>
        <w:pStyle w:val="Notaderodap"/>
        <w:spacing w:before="0" w:after="0"/>
        <w:jc w:val="both"/>
        <w:rPr/>
      </w:pPr>
      <w:r>
        <w:rPr>
          <w:rStyle w:val="Caracteresdenotaderodap"/>
        </w:rPr>
        <w:footnoteRef/>
      </w:r>
      <w:r>
        <w:rPr>
          <w:rFonts w:cs="Times New Roman"/>
        </w:rPr>
        <w:t xml:space="preserve"> </w:t>
      </w:r>
      <w:r>
        <w:rPr>
          <w:rFonts w:cs="Times New Roman"/>
          <w:sz w:val="20"/>
          <w:szCs w:val="20"/>
        </w:rPr>
        <w:t>Declaração expressa em que se defina se o empreendimento está ou não sujeito a prazo de carência de até 180 (cento e oitenta) dias, fixando-se as condições que autorizarão o incorporador a desistir do empreendimento. Tal declaração pode estar inserida no memorial de incorporação</w:t>
      </w:r>
    </w:p>
  </w:footnote>
  <w:footnote w:id="6">
    <w:p>
      <w:pPr>
        <w:pStyle w:val="Notaderodap"/>
        <w:spacing w:before="0" w:after="0"/>
        <w:jc w:val="both"/>
        <w:rPr/>
      </w:pPr>
      <w:r>
        <w:rPr>
          <w:rStyle w:val="Caracteresdenotaderodap"/>
        </w:rPr>
        <w:footnoteRef/>
      </w:r>
      <w:r>
        <w:rPr>
          <w:rFonts w:cs="Times New Roman"/>
        </w:rPr>
        <w:t xml:space="preserve"> </w:t>
      </w:r>
      <w:r>
        <w:rPr>
          <w:rFonts w:cs="Times New Roman"/>
          <w:sz w:val="20"/>
          <w:szCs w:val="20"/>
        </w:rPr>
        <w:t xml:space="preserve">Do proprietário do terreno e do incorporador, sempre que forem responsáveis pela arrecadação das respectivas contribuições - pessoa jurídica ou equiparada </w:t>
      </w:r>
      <w:r>
        <w:rPr>
          <w:rFonts w:cs="Times New Roman"/>
          <w:b/>
          <w:bCs/>
          <w:sz w:val="20"/>
          <w:szCs w:val="20"/>
        </w:rPr>
        <w:t>ou</w:t>
      </w:r>
      <w:r>
        <w:rPr>
          <w:rFonts w:cs="Times New Roman"/>
          <w:sz w:val="20"/>
          <w:szCs w:val="20"/>
        </w:rPr>
        <w:t xml:space="preserve"> não sendo pessoa jurídica ou equiparada, apresentar declaração de que não é contribuinte obrigatório, na qualidade de empregador, nem a ele equiparado, em caso de pessoa jurídica, basta a apresentação das certidões referentes a ela própria, dispensada a exigência de apresentação de certidões relativas aos sócios.</w:t>
      </w:r>
    </w:p>
  </w:footnote>
  <w:footnote w:id="7">
    <w:p>
      <w:pPr>
        <w:pStyle w:val="Notaderodap"/>
        <w:spacing w:lineRule="auto" w:line="240" w:before="0" w:after="0"/>
        <w:rPr/>
      </w:pPr>
      <w:r>
        <w:rPr>
          <w:rStyle w:val="Caracteresdenotaderodap"/>
        </w:rPr>
        <w:footnoteRef/>
      </w:r>
      <w:r>
        <w:rPr>
          <w:rFonts w:asciiTheme="minorHAnsi" w:hAnsiTheme="minorHAnsi"/>
          <w:sz w:val="20"/>
          <w:szCs w:val="20"/>
        </w:rPr>
        <w:tab/>
        <w:t xml:space="preserve">O decênio, tomará por base a data do pedido de registro do loteamento, devendo </w:t>
      </w:r>
      <w:r>
        <w:rPr>
          <w:rFonts w:asciiTheme="minorHAnsi" w:hAnsiTheme="minorHAnsi"/>
          <w:b/>
          <w:sz w:val="20"/>
          <w:szCs w:val="20"/>
        </w:rPr>
        <w:t>todas as certidões</w:t>
      </w:r>
      <w:r>
        <w:rPr>
          <w:rFonts w:asciiTheme="minorHAnsi" w:hAnsiTheme="minorHAnsi"/>
          <w:sz w:val="20"/>
          <w:szCs w:val="20"/>
        </w:rPr>
        <w:t xml:space="preserve"> serem extraídas em nome daqueles que, nos período de 10 (dez) anos, tenham sido titulares de direitos reais sobre o imóvel, devendo as certidões serem emitidas pela comarca da situação do imóvel e, se distintas, naquelas onde domiciliados o loteador e os antecessores.</w:t>
      </w:r>
    </w:p>
  </w:footnote>
  <w:footnote w:id="8">
    <w:p>
      <w:pPr>
        <w:pStyle w:val="Notaderodap"/>
        <w:spacing w:lineRule="auto" w:line="240" w:before="0" w:after="0"/>
        <w:rPr/>
      </w:pPr>
      <w:r>
        <w:rPr>
          <w:rStyle w:val="Caracteresdenotaderodap"/>
        </w:rPr>
        <w:footnoteRef/>
      </w:r>
      <w:r>
        <w:rPr>
          <w:rFonts w:asciiTheme="minorHAnsi" w:hAnsiTheme="minorHAnsi"/>
          <w:sz w:val="20"/>
          <w:szCs w:val="20"/>
        </w:rPr>
        <w:tab/>
        <w:t>Quando o loteador e os titulares de direitos reais sobre o imóvel forem pessoas naturais casadas, as certidões deverão se referir a ambos os cônjuges.</w:t>
      </w:r>
    </w:p>
  </w:footnote>
  <w:footnote w:id="9">
    <w:p>
      <w:pPr>
        <w:pStyle w:val="Notaderodap"/>
        <w:spacing w:lineRule="auto" w:line="240" w:before="0" w:after="0"/>
        <w:rPr/>
      </w:pPr>
      <w:r>
        <w:rPr>
          <w:rStyle w:val="Caracteresdenotaderodap"/>
        </w:rPr>
        <w:footnoteRef/>
      </w:r>
      <w:r>
        <w:rPr>
          <w:rFonts w:asciiTheme="minorHAnsi" w:hAnsiTheme="minorHAnsi"/>
          <w:sz w:val="20"/>
          <w:szCs w:val="20"/>
        </w:rPr>
        <w:tab/>
        <w:t>Tratando-se de pessoa jurídica, as certidões dos distribuidores criminais deverão referir-se, além da loteadora, também aos respectivos representantes legais.</w:t>
      </w:r>
    </w:p>
  </w:footnote>
  <w:footnote w:id="10">
    <w:p>
      <w:pPr>
        <w:pStyle w:val="Notaderodap"/>
        <w:spacing w:lineRule="auto" w:line="240" w:before="0" w:after="0"/>
        <w:rPr/>
      </w:pPr>
      <w:r>
        <w:rPr>
          <w:rStyle w:val="Caracteresdenotaderodap"/>
        </w:rPr>
        <w:footnoteRef/>
      </w:r>
      <w:r>
        <w:rPr>
          <w:rFonts w:asciiTheme="minorHAnsi" w:hAnsiTheme="minorHAnsi"/>
          <w:sz w:val="20"/>
          <w:szCs w:val="20"/>
        </w:rPr>
        <w:tab/>
        <w:t>Sempre que das certidões de feitos ajuizados envolvendo ações pessoais e reais constar a distribuição positiva, deverá ser exigida certidão complementar, expedida pelo escrivão do feito, sobre seu desfecho ou estado atual.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11">
    <w:p>
      <w:pPr>
        <w:pStyle w:val="Notaderodap"/>
        <w:spacing w:lineRule="auto" w:line="240" w:before="0" w:after="0"/>
        <w:rPr/>
      </w:pPr>
      <w:r>
        <w:rPr>
          <w:rStyle w:val="Caracteresdenotaderodap"/>
        </w:rPr>
        <w:footnoteRef/>
      </w:r>
      <w:r>
        <w:rPr>
          <w:rFonts w:asciiTheme="minorHAnsi" w:hAnsiTheme="minorHAnsi"/>
          <w:sz w:val="20"/>
          <w:szCs w:val="20"/>
        </w:rPr>
        <w:tab/>
        <w:t>A certidão positiva não impedirá o registro do loteamento se o requerente comprovar que essas ações/ protestos não poderão prejudicar os adquirentes dos lotes. Se o Oficial do Registro de Imóveis julgar insuficiente a comprovação feita, suscitará a dúvida perante o juiz competente.</w:t>
      </w:r>
    </w:p>
  </w:footnote>
  <w:footnote w:id="12">
    <w:p>
      <w:pPr>
        <w:pStyle w:val="Notaderodap"/>
        <w:spacing w:lineRule="auto" w:line="240" w:before="0" w:after="0"/>
        <w:rPr/>
      </w:pPr>
      <w:r>
        <w:rPr>
          <w:rStyle w:val="Caracteresdenotaderodap"/>
        </w:rPr>
        <w:footnoteRef/>
      </w:r>
      <w:r>
        <w:rPr>
          <w:rFonts w:asciiTheme="minorHAnsi" w:hAnsiTheme="minorHAnsi"/>
          <w:sz w:val="20"/>
          <w:szCs w:val="20"/>
        </w:rPr>
        <w:tab/>
        <w:t xml:space="preserve">Sempre que das certidões de feitos ajuizados envolvendo ações pessoais e reais constar a </w:t>
      </w:r>
      <w:r>
        <w:rPr>
          <w:rFonts w:asciiTheme="minorHAnsi" w:hAnsiTheme="minorHAnsi"/>
          <w:b/>
          <w:sz w:val="20"/>
          <w:szCs w:val="20"/>
        </w:rPr>
        <w:t>distribuição positiva</w:t>
      </w:r>
      <w:r>
        <w:rPr>
          <w:rFonts w:asciiTheme="minorHAnsi" w:hAnsiTheme="minorHAnsi"/>
          <w:sz w:val="20"/>
          <w:szCs w:val="20"/>
        </w:rPr>
        <w:t xml:space="preserve">, deverá ser exigida </w:t>
      </w:r>
      <w:r>
        <w:rPr>
          <w:rFonts w:asciiTheme="minorHAnsi" w:hAnsiTheme="minorHAnsi"/>
          <w:b/>
          <w:sz w:val="20"/>
          <w:szCs w:val="20"/>
        </w:rPr>
        <w:t>certidão complementar</w:t>
      </w:r>
      <w:r>
        <w:rPr>
          <w:rFonts w:asciiTheme="minorHAnsi" w:hAnsiTheme="minorHAnsi"/>
          <w:sz w:val="20"/>
          <w:szCs w:val="20"/>
        </w:rPr>
        <w:t>, expedida pelo escrivão do feito, sobre seu desfecho ou estado atual (objeto e pé).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13">
    <w:p>
      <w:pPr>
        <w:pStyle w:val="Notaderodap"/>
        <w:spacing w:lineRule="auto" w:line="240" w:before="0" w:after="0"/>
        <w:rPr/>
      </w:pPr>
      <w:r>
        <w:rPr>
          <w:rStyle w:val="Caracteresdenotaderodap"/>
        </w:rPr>
        <w:footnoteRef/>
      </w:r>
      <w:r>
        <w:rPr>
          <w:rFonts w:asciiTheme="minorHAnsi" w:hAnsiTheme="minorHAnsi"/>
          <w:sz w:val="20"/>
          <w:szCs w:val="20"/>
        </w:rPr>
        <w:tab/>
        <w:t xml:space="preserve">O pré-contrato ou contrato preliminar não depende de forma solene, podendo ser realizado por instrumento particular e não poderá conter cláusulas de arrependimento. </w:t>
      </w:r>
    </w:p>
  </w:footnote>
  <w:footnote w:id="14">
    <w:p>
      <w:pPr>
        <w:pStyle w:val="Notaderodap"/>
        <w:spacing w:lineRule="auto" w:line="240" w:before="0" w:after="0"/>
        <w:rPr/>
      </w:pPr>
      <w:r>
        <w:rPr>
          <w:rStyle w:val="Caracteresdenotaderodap"/>
        </w:rPr>
        <w:footnoteRef/>
      </w:r>
      <w:r>
        <w:rPr>
          <w:rFonts w:asciiTheme="minorHAnsi" w:hAnsiTheme="minorHAnsi"/>
          <w:sz w:val="20"/>
          <w:szCs w:val="20"/>
        </w:rPr>
        <w:tab/>
        <w:t>A declaração não dispensará o consentimento do declarante para os atos de alienação ou promessa de alienação de lotes, ou de direitos a eles relativos, que venham a ser praticados pelo seu cônjuge.</w:t>
      </w:r>
    </w:p>
  </w:footnote>
  <w:footnote w:id="15">
    <w:p>
      <w:pPr>
        <w:pStyle w:val="Notaderodap"/>
        <w:spacing w:lineRule="auto" w:line="240" w:before="0" w:after="0"/>
        <w:rPr/>
      </w:pPr>
      <w:r>
        <w:rPr>
          <w:rStyle w:val="Caracteresdenotaderodap"/>
        </w:rPr>
        <w:footnoteRef/>
      </w:r>
      <w:r>
        <w:rPr>
          <w:rStyle w:val="FootnoteCharacters"/>
          <w:rFonts w:asciiTheme="minorHAnsi" w:hAnsiTheme="minorHAnsi"/>
          <w:sz w:val="20"/>
          <w:szCs w:val="20"/>
        </w:rPr>
        <w:tab/>
      </w:r>
      <w:r>
        <w:rPr>
          <w:rFonts w:asciiTheme="minorHAnsi" w:hAnsiTheme="minorHAnsi"/>
          <w:sz w:val="20"/>
          <w:szCs w:val="20"/>
        </w:rPr>
        <w:t xml:space="preserve"> A publicação se fará apenas num dos jornais locais em 3 (três) edições consecutivas.</w:t>
      </w:r>
    </w:p>
  </w:footnote>
  <w:footnote w:id="16">
    <w:p>
      <w:pPr>
        <w:pStyle w:val="Notaderodap"/>
        <w:spacing w:lineRule="auto" w:line="240" w:before="0" w:after="0"/>
        <w:rPr/>
      </w:pPr>
      <w:r>
        <w:rPr>
          <w:rStyle w:val="Caracteresdenotaderodap"/>
        </w:rPr>
        <w:footnoteRef/>
      </w:r>
      <w:r>
        <w:rPr>
          <w:rFonts w:asciiTheme="minorHAnsi" w:hAnsiTheme="minorHAnsi"/>
          <w:sz w:val="20"/>
          <w:szCs w:val="20"/>
        </w:rPr>
        <w:tab/>
        <w:t>O cronograma deverá constar no mínimo, a execução das vias de circulação do loteamento; demarcação dos lotes; quadras e logradouros; das obras de escoamento das águas pluviais; de praças jardins e áreas de lazer e de arborização de áreas verdes, das calçadas e dos canteiros centrais, se existentes, com a duração máxima de quatro anos contados da licença para o início das obras. Após a pratica dos atos estabelecidos nos termos de verificação de obras, deverá ser apresentado o respectivo termo de verificação devendo o oficial comunicar a omissão à prefeitura e ao juiz corregedor, para as providencias cabíveis.</w:t>
      </w:r>
    </w:p>
  </w:footnote>
  <w:footnote w:id="17">
    <w:p>
      <w:pPr>
        <w:pStyle w:val="Notaderodap"/>
        <w:rPr>
          <w:rFonts w:ascii="Calibri" w:hAnsi="Calibri" w:asciiTheme="minorHAnsi" w:hAnsiTheme="minorHAnsi"/>
        </w:rPr>
      </w:pPr>
      <w:r>
        <w:rPr>
          <w:rStyle w:val="Caracteresdenotaderodap"/>
        </w:rPr>
        <w:footnoteRef/>
      </w:r>
      <w:r>
        <w:rPr>
          <w:rFonts w:asciiTheme="minorHAnsi" w:hAnsiTheme="minorHAnsi"/>
        </w:rPr>
        <w:t xml:space="preserve"> </w:t>
      </w:r>
      <w:r>
        <w:rPr>
          <w:rFonts w:asciiTheme="minorHAnsi" w:hAnsiTheme="minorHAnsi"/>
        </w:rPr>
        <w:t>O referido termo deve conter: I - declaração que se obrigará a executar o projeto aprovado sem qualquer Alteração; II – Executar à própria custa, no prazo fixado pela Prefeitura, todas as obras de infraestrutura, arborização de vias de circulação e de área verde, e equipamentos urbanísticos exigidos pelo art. desta Lei, incluindo a constituição e formação de área verde e de área de preservação permanente, quando for a hipótese; III – Fazer constar em todos os documentos de compra e venda, além das exigências previstas em Legislação Federal ou Municipal, a condição de que as chácaras somente poderão receber construção depois de concluídas as obras previstas no inciso anterior deste artigo; VI – Fazer constar nos documentos de compras e venda a responsabilidade solidária do comprador para com os serviços e obras do condomínio a ser instituído, na proporção das áreas de suas chácaras, conforme minuta da convenção a ser aprovada; V – Iniciar a venda das chácaras somente após a aprovação do Projeto de Lei específico pelo Poder Legislativo e, o registro do projeto nos termos do art. 21 desta Lei; VI – A não outorgar qualquer escritura definitiva de venda de chácaras antes de concluídas as obras previstas na letra k, do inciso IV do art. 17 desta lei e de cumpridos os incisos anteriores e as demais obrigações impostas por Lei ou assumidas no Termo de Obrigações de Empreendedor.</w:t>
      </w:r>
    </w:p>
    <w:p>
      <w:pPr>
        <w:pStyle w:val="Notaderodap"/>
        <w:spacing w:before="0" w:after="20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ahoma"/>
      <w:color w:val="00000A"/>
      <w:kern w:val="0"/>
      <w:sz w:val="22"/>
      <w:szCs w:val="22"/>
      <w:lang w:val="pt-BR" w:eastAsia="en-US" w:bidi="ar-SA"/>
    </w:rPr>
  </w:style>
  <w:style w:type="paragraph" w:styleId="Ttulo1">
    <w:name w:val="Heading 1"/>
    <w:basedOn w:val="Ttulododocumento"/>
    <w:qFormat/>
    <w:pPr>
      <w:outlineLvl w:val="0"/>
    </w:pPr>
    <w:rPr/>
  </w:style>
  <w:style w:type="paragraph" w:styleId="Ttulo2">
    <w:name w:val="Heading 2"/>
    <w:basedOn w:val="Ttulododocumento"/>
    <w:qFormat/>
    <w:pPr>
      <w:outlineLvl w:val="1"/>
    </w:pPr>
    <w:rPr/>
  </w:style>
  <w:style w:type="paragraph" w:styleId="Ttulo3">
    <w:name w:val="Heading 3"/>
    <w:basedOn w:val="Ttulododocumento"/>
    <w:qFormat/>
    <w:pPr>
      <w:outlineLvl w:val="2"/>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qFormat/>
    <w:rPr>
      <w:sz w:val="20"/>
      <w:szCs w:val="20"/>
    </w:rPr>
  </w:style>
  <w:style w:type="character" w:styleId="Ncoradanotaderodap" w:customStyle="1">
    <w:name w:val="Âncora da nota de rodapé"/>
    <w:rPr>
      <w:vertAlign w:val="superscript"/>
    </w:rPr>
  </w:style>
  <w:style w:type="character" w:styleId="FootnoteCharacters">
    <w:name w:val="Footnote Characters"/>
    <w:basedOn w:val="DefaultParagraphFont"/>
    <w:qFormat/>
    <w:rPr>
      <w:vertAlign w:val="superscript"/>
    </w:rPr>
  </w:style>
  <w:style w:type="character" w:styleId="LinkdaInternet">
    <w:name w:val="Link da Internet"/>
    <w:basedOn w:val="DefaultParagraphFont"/>
    <w:uiPriority w:val="99"/>
    <w:unhideWhenUsed/>
    <w:rsid w:val="00f931d1"/>
    <w:rPr>
      <w:color w:val="0000FF" w:themeColor="hyperlink"/>
      <w:u w:val="single"/>
    </w:rPr>
  </w:style>
  <w:style w:type="character" w:styleId="TextodebaloChar" w:customStyle="1">
    <w:name w:val="Texto de balão Char"/>
    <w:basedOn w:val="DefaultParagraphFont"/>
    <w:qFormat/>
    <w:rPr>
      <w:rFonts w:ascii="Tahoma" w:hAnsi="Tahoma" w:cs="Tahoma"/>
      <w:sz w:val="16"/>
      <w:szCs w:val="16"/>
    </w:rPr>
  </w:style>
  <w:style w:type="character" w:styleId="Ncoradanotadefim" w:customStyle="1">
    <w:name w:val="Âncora da nota de fim"/>
    <w:rPr>
      <w:vertAlign w:val="superscript"/>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UnresolvedMention">
    <w:name w:val="Unresolved Mention"/>
    <w:basedOn w:val="DefaultParagraphFont"/>
    <w:uiPriority w:val="99"/>
    <w:semiHidden/>
    <w:unhideWhenUsed/>
    <w:qFormat/>
    <w:rsid w:val="00c66033"/>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next w:val="Corpodotexto"/>
    <w:qFormat/>
    <w:pPr/>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00000A"/>
      <w:kern w:val="0"/>
      <w:sz w:val="22"/>
      <w:szCs w:val="22"/>
      <w:lang w:val="pt-BR" w:eastAsia="en-US" w:bidi="ar-SA"/>
    </w:rPr>
  </w:style>
  <w:style w:type="paragraph" w:styleId="Notaderodap" w:customStyle="1">
    <w:name w:val="Footnote Text"/>
    <w:basedOn w:val="Normal"/>
    <w:pPr/>
    <w:rPr/>
  </w:style>
  <w:style w:type="paragraph" w:styleId="BalloonText">
    <w:name w:val="Balloon Text"/>
    <w:basedOn w:val="Normal"/>
    <w:qFormat/>
    <w:pPr>
      <w:spacing w:lineRule="auto" w:line="240" w:before="0" w:after="0"/>
    </w:pPr>
    <w:rPr>
      <w:rFonts w:ascii="Tahoma" w:hAnsi="Tahoma"/>
      <w:sz w:val="16"/>
      <w:szCs w:val="16"/>
    </w:rPr>
  </w:style>
  <w:style w:type="paragraph" w:styleId="Citaes" w:customStyle="1">
    <w:name w:val="Citações"/>
    <w:basedOn w:val="Normal"/>
    <w:qFormat/>
    <w:pPr/>
    <w:rPr/>
  </w:style>
  <w:style w:type="paragraph" w:styleId="Subttulo">
    <w:name w:val="Subtitle"/>
    <w:basedOn w:val="Ttulododocumento"/>
    <w:qFormat/>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abealhoeRodap">
    <w:name w:val="Cabeçalho e Rodapé"/>
    <w:basedOn w:val="Normal"/>
    <w:qFormat/>
    <w:pPr/>
    <w:rPr/>
  </w:style>
  <w:style w:type="paragraph" w:styleId="Rodap">
    <w:name w:val="Footer"/>
    <w:basedOn w:val="Normal"/>
    <w:pPr/>
    <w:rPr/>
  </w:style>
  <w:style w:type="paragraph" w:styleId="NormalWeb">
    <w:name w:val="Normal (Web)"/>
    <w:basedOn w:val="Normal"/>
    <w:uiPriority w:val="99"/>
    <w:semiHidden/>
    <w:unhideWhenUsed/>
    <w:qFormat/>
    <w:rsid w:val="00c043bb"/>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ucemg.mg.gov.br/ibr/" TargetMode="External"/><Relationship Id="rId4" Type="http://schemas.openxmlformats.org/officeDocument/2006/relationships/hyperlink" Target="http://www.jucemg.mg.gov.br/ibr/" TargetMode="External"/><Relationship Id="rId5" Type="http://schemas.openxmlformats.org/officeDocument/2006/relationships/hyperlink" Target="http://receita.economia.gov.br/" TargetMode="External"/><Relationship Id="rId6" Type="http://schemas.openxmlformats.org/officeDocument/2006/relationships/hyperlink" Target="https://www.corimg.org/home/incorporacoes_imobiliarias" TargetMode="External"/><Relationship Id="rId7" Type="http://schemas.openxmlformats.org/officeDocument/2006/relationships/hyperlink" Target="https://www.corimg.org/home/incorporacoes_imobiliarias" TargetMode="External"/><Relationship Id="rId8" Type="http://schemas.openxmlformats.org/officeDocument/2006/relationships/hyperlink" Target="https://corimg.org/incorporacoes-imobiliarias" TargetMode="External"/><Relationship Id="rId9" Type="http://schemas.openxmlformats.org/officeDocument/2006/relationships/hyperlink" Target="http://servicos.receita.fazenda.gov.br/Servicos/certidao/cndconjuntainter/informanicertidao.asp?tipo=1" TargetMode="External"/><Relationship Id="rId10" Type="http://schemas.openxmlformats.org/officeDocument/2006/relationships/hyperlink" Target="http://www.receita.fazenda.gov.br/Grupo2/Certidoes.htm" TargetMode="External"/><Relationship Id="rId11" Type="http://schemas.openxmlformats.org/officeDocument/2006/relationships/hyperlink" Target="http://www.fazenda.mg.gov.br/empresas/certidao_debitos/" TargetMode="External"/><Relationship Id="rId12" Type="http://schemas.openxmlformats.org/officeDocument/2006/relationships/hyperlink" Target="http://www8.tjmg.jus.br/certidaoJudicial/faces/emitirCertidao.xhtml" TargetMode="External"/><Relationship Id="rId13" Type="http://schemas.openxmlformats.org/officeDocument/2006/relationships/hyperlink" Target="http://www8.tjmg.jus.br/certidaoJudicial/faces/emitirCertidao.xhtml" TargetMode="External"/><Relationship Id="rId14" Type="http://schemas.openxmlformats.org/officeDocument/2006/relationships/hyperlink" Target="http://www.trf1.jus.br/Servicos/Certidao/" TargetMode="External"/><Relationship Id="rId15" Type="http://schemas.openxmlformats.org/officeDocument/2006/relationships/hyperlink" Target="http://www.trf1.jus.br/Servicos/Certidao/" TargetMode="External"/><Relationship Id="rId16" Type="http://schemas.openxmlformats.org/officeDocument/2006/relationships/hyperlink" Target="http://as3.trt3.jus.br/certidao/feitosTrabalhistas/aba1.emissao.htm" TargetMode="External"/><Relationship Id="rId17" Type="http://schemas.openxmlformats.org/officeDocument/2006/relationships/hyperlink" Target="http://www.tst.jus.br/certidao" TargetMode="External"/><Relationship Id="rId18" Type="http://schemas.openxmlformats.org/officeDocument/2006/relationships/hyperlink" Target="http://www.condepefidem.pe.gov.br/c/document_library/get_file?p_l_id=20002&amp;folderId=142737&amp;name=DLFE-12378.pdf" TargetMode="Externa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D84F-E907-4D37-B11B-50764C43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LibreOffice/6.3.6.2$Windows_X86_64 LibreOffice_project/2196df99b074d8a661f4036fca8fa0cbfa33a497</Application>
  <Pages>6</Pages>
  <Words>2661</Words>
  <Characters>15365</Characters>
  <CharactersWithSpaces>17830</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2018-09-17T21:02:00Z</dcterms:created>
  <dc:creator>Lenovo</dc:creator>
  <dc:description/>
  <dc:language>pt-BR</dc:language>
  <cp:lastModifiedBy/>
  <cp:lastPrinted>2020-02-03T13:48:50Z</cp:lastPrinted>
  <dcterms:modified xsi:type="dcterms:W3CDTF">2020-06-30T08:04:12Z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