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left="3119" w:hanging="0"/>
        <w:rPr>
          <w:rFonts w:cs="Times New Roman"/>
          <w:b/>
          <w:b/>
          <w:caps/>
          <w:sz w:val="28"/>
          <w:szCs w:val="28"/>
          <w:u w:val="single"/>
        </w:rPr>
      </w:pPr>
      <w:r>
        <mc:AlternateContent>
          <mc:Choice Requires="wps">
            <w:drawing>
              <wp:anchor behindDoc="1" distT="0" distB="0" distL="0" distR="0" simplePos="0" locked="0" layoutInCell="1" allowOverlap="1" relativeHeight="2">
                <wp:simplePos x="0" y="0"/>
                <wp:positionH relativeFrom="column">
                  <wp:posOffset>514985</wp:posOffset>
                </wp:positionH>
                <wp:positionV relativeFrom="paragraph">
                  <wp:posOffset>-93345</wp:posOffset>
                </wp:positionV>
                <wp:extent cx="1383030" cy="817880"/>
                <wp:effectExtent l="0" t="0" r="0" b="3810"/>
                <wp:wrapNone/>
                <wp:docPr id="1" name="Imagem 1"/>
                <a:graphic xmlns:a="http://schemas.openxmlformats.org/drawingml/2006/main">
                  <a:graphicData uri="http://schemas.openxmlformats.org/drawingml/2006/picture">
                    <pic:pic xmlns:pic="http://schemas.openxmlformats.org/drawingml/2006/picture">
                      <pic:nvPicPr>
                        <pic:cNvPr id="0" name="Imagem 1" descr=""/>
                        <pic:cNvPicPr/>
                      </pic:nvPicPr>
                      <pic:blipFill>
                        <a:blip r:embed="rId2"/>
                        <a:stretch/>
                      </pic:blipFill>
                      <pic:spPr>
                        <a:xfrm>
                          <a:off x="0" y="0"/>
                          <a:ext cx="1382400" cy="817200"/>
                        </a:xfrm>
                        <a:prstGeom prst="rect">
                          <a:avLst/>
                        </a:prstGeom>
                        <a:ln>
                          <a:noFill/>
                        </a:ln>
                        <a:effectLst>
                          <a:softEdge rad="112500"/>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1" stroked="f" style="position:absolute;margin-left:40.55pt;margin-top:-7.35pt;width:108.8pt;height:64.3pt" type="shapetype_75">
                <v:imagedata r:id="rId2" o:detectmouseclick="t"/>
                <w10:wrap type="none"/>
                <v:stroke color="#3465a4" joinstyle="round" endcap="flat"/>
              </v:shape>
            </w:pict>
          </mc:Fallback>
        </mc:AlternateContent>
      </w:r>
      <w:r>
        <w:rPr>
          <w:rFonts w:cs="Times New Roman"/>
          <w:b/>
          <w:caps/>
          <w:sz w:val="28"/>
          <w:szCs w:val="28"/>
        </w:rPr>
        <w:t xml:space="preserve"> </w:t>
      </w:r>
      <w:r>
        <w:rPr>
          <w:rFonts w:cs="Times New Roman"/>
          <w:b/>
          <w:caps/>
          <w:sz w:val="28"/>
          <w:szCs w:val="28"/>
          <w:u w:val="single"/>
        </w:rPr>
        <w:t>Relação de documentos para registro de loteamentos ou desmembramentos</w:t>
      </w:r>
      <w:bookmarkStart w:id="0" w:name="_GoBack"/>
      <w:bookmarkEnd w:id="0"/>
    </w:p>
    <w:p>
      <w:pPr>
        <w:pStyle w:val="NoSpacing"/>
        <w:ind w:left="3119" w:hanging="0"/>
        <w:rPr/>
      </w:pPr>
      <w:r>
        <w:rPr>
          <w:rFonts w:cs="Times New Roman"/>
          <w:sz w:val="24"/>
          <w:szCs w:val="24"/>
        </w:rPr>
        <w:t xml:space="preserve">(Lei n° 6.766/79; Lei n° 10.257/01; Provimento n° </w:t>
      </w:r>
      <w:r>
        <w:rPr>
          <w:rFonts w:cs="Times New Roman"/>
          <w:color w:val="00000A"/>
          <w:sz w:val="24"/>
          <w:szCs w:val="24"/>
        </w:rPr>
        <w:t>93</w:t>
      </w:r>
      <w:r>
        <w:rPr>
          <w:rFonts w:cs="Times New Roman"/>
          <w:sz w:val="24"/>
          <w:szCs w:val="24"/>
        </w:rPr>
        <w:t>/CGJ/20</w:t>
      </w:r>
      <w:r>
        <w:rPr>
          <w:rFonts w:cs="Times New Roman"/>
          <w:color w:val="00000A"/>
          <w:sz w:val="24"/>
          <w:szCs w:val="24"/>
        </w:rPr>
        <w:t>20</w:t>
      </w:r>
      <w:r>
        <w:rPr>
          <w:rFonts w:cs="Times New Roman"/>
          <w:sz w:val="24"/>
          <w:szCs w:val="24"/>
        </w:rPr>
        <w:t xml:space="preserve"> e Leis Municipais n° 1.569/2000; 1606/2000).</w:t>
      </w:r>
    </w:p>
    <w:p>
      <w:pPr>
        <w:pStyle w:val="NoSpacing"/>
        <w:jc w:val="center"/>
        <w:rPr>
          <w:rFonts w:cs="Times New Roman"/>
          <w:sz w:val="24"/>
          <w:szCs w:val="24"/>
        </w:rPr>
      </w:pPr>
      <w:r>
        <w:rPr>
          <w:rFonts w:cs="Times New Roman"/>
          <w:sz w:val="24"/>
          <w:szCs w:val="24"/>
        </w:rPr>
      </w:r>
    </w:p>
    <w:tbl>
      <w:tblPr>
        <w:tblStyle w:val="Tabelacomgrade"/>
        <w:tblW w:w="15613" w:type="dxa"/>
        <w:jc w:val="left"/>
        <w:tblInd w:w="-25" w:type="dxa"/>
        <w:tblCellMar>
          <w:top w:w="0" w:type="dxa"/>
          <w:left w:w="83" w:type="dxa"/>
          <w:bottom w:w="0" w:type="dxa"/>
          <w:right w:w="108" w:type="dxa"/>
        </w:tblCellMar>
        <w:tblLook w:firstRow="1" w:noVBand="1" w:lastRow="0" w:firstColumn="1" w:lastColumn="0" w:noHBand="0" w:val="04a0"/>
      </w:tblPr>
      <w:tblGrid>
        <w:gridCol w:w="459"/>
        <w:gridCol w:w="7441"/>
        <w:gridCol w:w="1870"/>
        <w:gridCol w:w="5842"/>
      </w:tblGrid>
      <w:tr>
        <w:trPr/>
        <w:tc>
          <w:tcPr>
            <w:tcW w:w="459" w:type="dxa"/>
            <w:tcBorders/>
            <w:shd w:color="auto" w:fill="auto" w:val="clear"/>
          </w:tcPr>
          <w:p>
            <w:pPr>
              <w:pStyle w:val="NoSpacing"/>
              <w:spacing w:lineRule="auto" w:line="240"/>
              <w:jc w:val="center"/>
              <w:rPr>
                <w:rFonts w:cs="Times New Roman"/>
              </w:rPr>
            </w:pPr>
            <w:r>
              <w:rPr>
                <w:rFonts w:cs="Times New Roman"/>
              </w:rPr>
              <w:t>N°</w:t>
            </w:r>
          </w:p>
        </w:tc>
        <w:tc>
          <w:tcPr>
            <w:tcW w:w="7441" w:type="dxa"/>
            <w:tcBorders/>
            <w:shd w:color="auto" w:fill="auto" w:val="clear"/>
          </w:tcPr>
          <w:p>
            <w:pPr>
              <w:pStyle w:val="NoSpacing"/>
              <w:spacing w:lineRule="auto" w:line="240"/>
              <w:jc w:val="center"/>
              <w:rPr>
                <w:rFonts w:cs="Times New Roman"/>
              </w:rPr>
            </w:pPr>
            <w:r>
              <w:rPr>
                <w:rFonts w:cs="Times New Roman"/>
              </w:rPr>
              <w:t xml:space="preserve">Título </w:t>
            </w:r>
          </w:p>
        </w:tc>
        <w:tc>
          <w:tcPr>
            <w:tcW w:w="1870" w:type="dxa"/>
            <w:tcBorders/>
            <w:shd w:color="auto" w:fill="auto" w:val="clear"/>
          </w:tcPr>
          <w:p>
            <w:pPr>
              <w:pStyle w:val="NoSpacing"/>
              <w:spacing w:lineRule="auto" w:line="240"/>
              <w:jc w:val="center"/>
              <w:rPr>
                <w:rFonts w:cs="Times New Roman"/>
                <w:sz w:val="18"/>
                <w:szCs w:val="18"/>
              </w:rPr>
            </w:pPr>
            <w:r>
              <w:rPr>
                <w:rFonts w:cs="Times New Roman"/>
              </w:rPr>
              <w:t>Fundamentação</w:t>
            </w:r>
          </w:p>
        </w:tc>
        <w:tc>
          <w:tcPr>
            <w:tcW w:w="5842" w:type="dxa"/>
            <w:tcBorders/>
            <w:shd w:color="auto" w:fill="auto" w:val="clear"/>
          </w:tcPr>
          <w:p>
            <w:pPr>
              <w:pStyle w:val="NoSpacing"/>
              <w:spacing w:lineRule="auto" w:line="240"/>
              <w:jc w:val="center"/>
              <w:rPr>
                <w:rFonts w:cs="Times New Roman"/>
                <w:sz w:val="20"/>
                <w:szCs w:val="20"/>
              </w:rPr>
            </w:pPr>
            <w:r>
              <w:rPr>
                <w:rFonts w:cs="Times New Roman"/>
              </w:rPr>
              <w:t>Disponível</w:t>
            </w:r>
            <w:r>
              <w:rPr>
                <w:rFonts w:cs="Times New Roman"/>
                <w:sz w:val="20"/>
                <w:szCs w:val="20"/>
              </w:rPr>
              <w:t xml:space="preserve"> em: </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bookmarkStart w:id="1" w:name="_Hlk513016964"/>
            <w:r>
              <w:rPr>
                <w:rFonts w:cs="Times New Roman"/>
              </w:rPr>
              <w:t xml:space="preserve">Requerimento ao Oficial de Registro de Imóveis </w:t>
            </w:r>
            <w:bookmarkEnd w:id="1"/>
            <w:r>
              <w:rPr>
                <w:rFonts w:cs="Times New Roman"/>
              </w:rPr>
              <w:t xml:space="preserve">(com firma reconhecida) </w:t>
            </w:r>
            <w:bookmarkStart w:id="2" w:name="_Hlk513016980"/>
            <w:r>
              <w:rPr>
                <w:rFonts w:cs="Times New Roman"/>
              </w:rPr>
              <w:t>solicitando o registro do loteamento.</w:t>
            </w:r>
            <w:bookmarkEnd w:id="2"/>
          </w:p>
        </w:tc>
        <w:tc>
          <w:tcPr>
            <w:tcW w:w="1870" w:type="dxa"/>
            <w:tcBorders/>
            <w:shd w:color="auto" w:fill="auto" w:val="clear"/>
          </w:tcPr>
          <w:p>
            <w:pPr>
              <w:pStyle w:val="NoSpacing"/>
              <w:spacing w:lineRule="auto" w:line="240"/>
              <w:ind w:left="-35" w:right="-78" w:hanging="0"/>
              <w:jc w:val="both"/>
              <w:rPr/>
            </w:pPr>
            <w:bookmarkStart w:id="3" w:name="_Hlk513017020"/>
            <w:r>
              <w:rPr>
                <w:rFonts w:cs="Times New Roman"/>
                <w:sz w:val="18"/>
                <w:szCs w:val="18"/>
              </w:rPr>
              <w:t xml:space="preserve">Art. </w:t>
            </w:r>
            <w:r>
              <w:rPr>
                <w:rFonts w:cs="Times New Roman"/>
                <w:color w:val="00000A"/>
                <w:sz w:val="18"/>
                <w:szCs w:val="18"/>
              </w:rPr>
              <w:t>996</w:t>
            </w:r>
            <w:r>
              <w:rPr>
                <w:rFonts w:cs="Times New Roman"/>
                <w:sz w:val="18"/>
                <w:szCs w:val="18"/>
              </w:rPr>
              <w:t>. Prov.</w:t>
            </w:r>
            <w:r>
              <w:rPr>
                <w:rFonts w:cs="Times New Roman"/>
                <w:color w:val="00000A"/>
                <w:sz w:val="18"/>
                <w:szCs w:val="18"/>
              </w:rPr>
              <w:t>93</w:t>
            </w:r>
            <w:r>
              <w:rPr>
                <w:rFonts w:cs="Times New Roman"/>
                <w:sz w:val="18"/>
                <w:szCs w:val="18"/>
              </w:rPr>
              <w:t>.</w:t>
            </w:r>
            <w:bookmarkEnd w:id="3"/>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Modelo disponível no Serviço Registral de Imóveis</w:t>
            </w:r>
          </w:p>
        </w:tc>
      </w:tr>
      <w:tr>
        <w:trPr/>
        <w:tc>
          <w:tcPr>
            <w:tcW w:w="459" w:type="dxa"/>
            <w:vMerge w:val="restart"/>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2.1</w:t>
            </w:r>
            <w:r>
              <w:rPr>
                <w:rFonts w:cs="Times New Roman"/>
                <w:b/>
                <w:bCs/>
              </w:rPr>
              <w:t xml:space="preserve"> Sendo pessoa Jurídica:</w:t>
            </w:r>
            <w:r>
              <w:rPr>
                <w:rFonts w:cs="Times New Roman"/>
              </w:rPr>
              <w:t xml:space="preserve"> Cópia autenticada do Contrato Social da empresa, e respectiva Alteração Contratual, quando for o caso.</w:t>
            </w:r>
            <w:r>
              <w:rPr>
                <w:rStyle w:val="Ncoradanotaderodap"/>
                <w:rFonts w:cs="Times New Roman"/>
              </w:rPr>
              <w:footnoteReference w:id="2"/>
            </w:r>
          </w:p>
        </w:tc>
        <w:tc>
          <w:tcPr>
            <w:tcW w:w="1870" w:type="dxa"/>
            <w:tcBorders/>
            <w:shd w:color="auto" w:fill="auto"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1.000</w:t>
            </w:r>
            <w:r>
              <w:rPr>
                <w:rFonts w:cs="Times New Roman"/>
                <w:sz w:val="18"/>
                <w:szCs w:val="18"/>
              </w:rPr>
              <w:t>. Prov.</w:t>
            </w:r>
            <w:r>
              <w:rPr>
                <w:rFonts w:cs="Times New Roman"/>
                <w:color w:val="00000A"/>
                <w:sz w:val="18"/>
                <w:szCs w:val="18"/>
              </w:rPr>
              <w:t>93</w:t>
            </w:r>
          </w:p>
        </w:tc>
        <w:tc>
          <w:tcPr>
            <w:tcW w:w="5842" w:type="dxa"/>
            <w:tcBorders/>
            <w:shd w:color="auto" w:fill="auto" w:val="clear"/>
          </w:tcPr>
          <w:p>
            <w:pPr>
              <w:pStyle w:val="NoSpacing"/>
              <w:spacing w:lineRule="auto" w:line="240"/>
              <w:rPr/>
            </w:pPr>
            <w:hyperlink r:id="rId3">
              <w:r>
                <w:rPr>
                  <w:rStyle w:val="LinkdaInternet"/>
                  <w:rFonts w:cs="Times New Roman"/>
                  <w:sz w:val="20"/>
                  <w:szCs w:val="20"/>
                </w:rPr>
                <w:t>http://www.jucemg.mg.gov.br/ibr/</w:t>
              </w:r>
            </w:hyperlink>
            <w:r>
              <w:rPr>
                <w:rFonts w:cs="Times New Roman"/>
                <w:sz w:val="20"/>
                <w:szCs w:val="20"/>
              </w:rPr>
              <w:t xml:space="preserve"> Loteador (contador)</w:t>
            </w:r>
          </w:p>
        </w:tc>
      </w:tr>
      <w:tr>
        <w:trPr/>
        <w:tc>
          <w:tcPr>
            <w:tcW w:w="459" w:type="dxa"/>
            <w:vMerge w:val="continue"/>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2.2 Certidão simplificada da Junta Comercial ou do Ofício de Registro Civil das Pessoas Jurídicas, na qual se verificará a capacidade de representação dos signatários do requerimento</w:t>
            </w:r>
          </w:p>
        </w:tc>
        <w:tc>
          <w:tcPr>
            <w:tcW w:w="1870" w:type="dxa"/>
            <w:tcBorders/>
            <w:shd w:color="auto" w:fill="auto"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1.000</w:t>
            </w:r>
            <w:r>
              <w:rPr>
                <w:rFonts w:cs="Times New Roman"/>
                <w:sz w:val="18"/>
                <w:szCs w:val="18"/>
              </w:rPr>
              <w:t>. Prov.</w:t>
            </w:r>
            <w:r>
              <w:rPr>
                <w:rFonts w:cs="Times New Roman"/>
                <w:color w:val="00000A"/>
                <w:sz w:val="18"/>
                <w:szCs w:val="18"/>
              </w:rPr>
              <w:t>93</w:t>
            </w:r>
          </w:p>
        </w:tc>
        <w:tc>
          <w:tcPr>
            <w:tcW w:w="5842" w:type="dxa"/>
            <w:tcBorders/>
            <w:shd w:color="auto" w:fill="auto" w:val="clear"/>
          </w:tcPr>
          <w:p>
            <w:pPr>
              <w:pStyle w:val="NoSpacing"/>
              <w:spacing w:lineRule="auto" w:line="240"/>
              <w:rPr/>
            </w:pPr>
            <w:hyperlink r:id="rId4">
              <w:r>
                <w:rPr>
                  <w:rStyle w:val="LinkdaInternet"/>
                  <w:rFonts w:cs="Times New Roman"/>
                  <w:sz w:val="18"/>
                  <w:szCs w:val="18"/>
                </w:rPr>
                <w:t>http://www.jucemg.mg.gov.br/ibr/</w:t>
              </w:r>
            </w:hyperlink>
            <w:r>
              <w:rPr>
                <w:rFonts w:cs="Times New Roman"/>
                <w:sz w:val="18"/>
                <w:szCs w:val="18"/>
              </w:rPr>
              <w:t xml:space="preserve"> Loteador (contador)</w:t>
            </w:r>
          </w:p>
        </w:tc>
      </w:tr>
      <w:tr>
        <w:trPr/>
        <w:tc>
          <w:tcPr>
            <w:tcW w:w="459" w:type="dxa"/>
            <w:vMerge w:val="continue"/>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2.3 Comprovante de inscrição no CNPJ</w:t>
            </w:r>
          </w:p>
        </w:tc>
        <w:tc>
          <w:tcPr>
            <w:tcW w:w="1870" w:type="dxa"/>
            <w:tcBorders/>
            <w:shd w:color="auto" w:fill="auto"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1.000</w:t>
            </w:r>
            <w:r>
              <w:rPr>
                <w:rFonts w:cs="Times New Roman"/>
                <w:sz w:val="18"/>
                <w:szCs w:val="18"/>
              </w:rPr>
              <w:t>. Prov.</w:t>
            </w:r>
            <w:r>
              <w:rPr>
                <w:rFonts w:cs="Times New Roman"/>
                <w:color w:val="00000A"/>
                <w:sz w:val="18"/>
                <w:szCs w:val="18"/>
              </w:rPr>
              <w:t>93</w:t>
            </w:r>
          </w:p>
        </w:tc>
        <w:tc>
          <w:tcPr>
            <w:tcW w:w="5842" w:type="dxa"/>
            <w:tcBorders/>
            <w:shd w:color="auto" w:fill="auto" w:val="clear"/>
          </w:tcPr>
          <w:p>
            <w:pPr>
              <w:pStyle w:val="NoSpacing"/>
              <w:spacing w:lineRule="auto" w:line="240"/>
              <w:rPr/>
            </w:pPr>
            <w:hyperlink r:id="rId5">
              <w:r>
                <w:rPr>
                  <w:rStyle w:val="LinkdaInternet"/>
                  <w:sz w:val="18"/>
                  <w:szCs w:val="18"/>
                </w:rPr>
                <w:t>http://receita.economia.gov.br/</w:t>
              </w:r>
            </w:hyperlink>
            <w:r>
              <w:rPr>
                <w:sz w:val="18"/>
                <w:szCs w:val="18"/>
              </w:rPr>
              <w:t xml:space="preserve"> </w:t>
            </w:r>
            <w:r>
              <w:rPr>
                <w:rFonts w:cs="Times New Roman"/>
                <w:sz w:val="18"/>
                <w:szCs w:val="18"/>
              </w:rPr>
              <w:t>Loteador (contador)</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pPr>
            <w:r>
              <w:rPr>
                <w:rFonts w:cs="Times New Roman"/>
              </w:rPr>
              <w:t>Certidão da matrícula ou título de propriedade do imóvel</w:t>
            </w:r>
            <w:r>
              <w:rPr>
                <w:rStyle w:val="Ncoradanotaderodap"/>
                <w:rFonts w:cs="Times New Roman"/>
              </w:rPr>
              <w:footnoteReference w:id="3"/>
            </w:r>
          </w:p>
        </w:tc>
        <w:tc>
          <w:tcPr>
            <w:tcW w:w="1870" w:type="dxa"/>
            <w:tcBorders/>
            <w:shd w:color="auto" w:fill="auto" w:val="clear"/>
          </w:tcPr>
          <w:p>
            <w:pPr>
              <w:pStyle w:val="NoSpacing"/>
              <w:spacing w:lineRule="auto" w:line="240"/>
              <w:ind w:left="-35" w:right="-78" w:hanging="0"/>
              <w:jc w:val="both"/>
              <w:rPr/>
            </w:pPr>
            <w:r>
              <w:rPr>
                <w:rFonts w:cs="Times New Roman"/>
                <w:sz w:val="18"/>
                <w:szCs w:val="18"/>
              </w:rPr>
              <w:t>Art. 18, I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w:t>
            </w:r>
            <w:r>
              <w:rPr>
                <w:rFonts w:cs="Times New Roman"/>
                <w:sz w:val="18"/>
                <w:szCs w:val="18"/>
              </w:rPr>
              <w:t xml:space="preserve"> Prov.</w:t>
            </w:r>
            <w:r>
              <w:rPr>
                <w:rFonts w:cs="Times New Roman"/>
                <w:color w:val="00000A"/>
                <w:sz w:val="18"/>
                <w:szCs w:val="18"/>
              </w:rPr>
              <w:t>93</w:t>
            </w:r>
            <w:r>
              <w:rPr>
                <w:rFonts w:cs="Times New Roman"/>
                <w:sz w:val="18"/>
                <w:szCs w:val="18"/>
              </w:rPr>
              <w:t>.</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 xml:space="preserve">Serviço Registral de Imóveis </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Certidão ônus reais, ações reipersecutórias, ou negativa, relativos ao imóvel.</w:t>
            </w:r>
          </w:p>
        </w:tc>
        <w:tc>
          <w:tcPr>
            <w:tcW w:w="1870" w:type="dxa"/>
            <w:tcBorders/>
            <w:shd w:color="auto" w:fill="auto" w:val="clear"/>
          </w:tcPr>
          <w:p>
            <w:pPr>
              <w:pStyle w:val="NoSpacing"/>
              <w:spacing w:lineRule="auto" w:line="240"/>
              <w:ind w:left="-35" w:right="-78" w:hanging="0"/>
              <w:jc w:val="both"/>
              <w:rPr/>
            </w:pPr>
            <w:r>
              <w:rPr>
                <w:rFonts w:cs="Times New Roman"/>
                <w:sz w:val="18"/>
                <w:szCs w:val="18"/>
              </w:rPr>
              <w:t>Art. 18, IV, C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w:t>
            </w:r>
            <w:r>
              <w:rPr>
                <w:rFonts w:cs="Times New Roman"/>
                <w:sz w:val="18"/>
                <w:szCs w:val="18"/>
              </w:rPr>
              <w:t xml:space="preserve"> Prov.</w:t>
            </w:r>
            <w:r>
              <w:rPr>
                <w:rFonts w:cs="Times New Roman"/>
                <w:color w:val="00000A"/>
                <w:sz w:val="18"/>
                <w:szCs w:val="18"/>
              </w:rPr>
              <w:t>93</w:t>
            </w:r>
            <w:r>
              <w:rPr>
                <w:rFonts w:cs="Times New Roman"/>
                <w:sz w:val="18"/>
                <w:szCs w:val="18"/>
              </w:rPr>
              <w:t>.</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Serviço Registral de Imóveis</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Histórico dos títulos de propriedade do imóvel, abrangendo os últimos 20 (vintes anos), acompanhados dos respectivos comprovantes.</w:t>
            </w:r>
            <w:r>
              <w:rPr>
                <w:rStyle w:val="Ncoradanotaderodap"/>
                <w:rFonts w:cs="Times New Roman"/>
              </w:rPr>
              <w:footnoteReference w:id="4"/>
            </w:r>
          </w:p>
        </w:tc>
        <w:tc>
          <w:tcPr>
            <w:tcW w:w="1870" w:type="dxa"/>
            <w:tcBorders/>
            <w:shd w:color="auto" w:fill="auto" w:val="clear"/>
          </w:tcPr>
          <w:p>
            <w:pPr>
              <w:pStyle w:val="NoSpacing"/>
              <w:spacing w:lineRule="auto" w:line="240"/>
              <w:ind w:left="-35" w:right="-78" w:hanging="0"/>
              <w:jc w:val="both"/>
              <w:rPr/>
            </w:pPr>
            <w:r>
              <w:rPr>
                <w:rFonts w:cs="Times New Roman"/>
                <w:sz w:val="18"/>
                <w:szCs w:val="18"/>
              </w:rPr>
              <w:t>Art. 18, II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II</w:t>
            </w:r>
            <w:r>
              <w:rPr>
                <w:rFonts w:cs="Times New Roman"/>
                <w:sz w:val="18"/>
                <w:szCs w:val="18"/>
              </w:rPr>
              <w:t xml:space="preserve"> Prov.</w:t>
            </w:r>
            <w:r>
              <w:rPr>
                <w:rFonts w:cs="Times New Roman"/>
                <w:color w:val="00000A"/>
                <w:sz w:val="18"/>
                <w:szCs w:val="18"/>
              </w:rPr>
              <w:t>93</w:t>
            </w:r>
            <w:r>
              <w:rPr>
                <w:rFonts w:cs="Times New Roman"/>
                <w:sz w:val="18"/>
                <w:szCs w:val="18"/>
              </w:rPr>
              <w:t>.</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Serviço Registral de Imóveis</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 xml:space="preserve">Certidões </w:t>
            </w:r>
            <w:r>
              <w:rPr>
                <w:rFonts w:cs="Times New Roman"/>
                <w:b/>
              </w:rPr>
              <w:t>negativas</w:t>
            </w:r>
            <w:r>
              <w:rPr>
                <w:rFonts w:cs="Times New Roman"/>
              </w:rPr>
              <w:t xml:space="preserve"> tributos </w:t>
            </w:r>
            <w:r>
              <w:rPr>
                <w:rFonts w:cs="Times New Roman"/>
                <w:u w:val="single"/>
              </w:rPr>
              <w:t>federais</w:t>
            </w:r>
            <w:bookmarkStart w:id="4" w:name="_Hlk513017062"/>
            <w:r>
              <w:rPr>
                <w:rFonts w:cs="Times New Roman"/>
              </w:rPr>
              <w:t>, incidentes sobre o imóvel.</w:t>
            </w:r>
            <w:bookmarkEnd w:id="4"/>
          </w:p>
        </w:tc>
        <w:tc>
          <w:tcPr>
            <w:tcW w:w="1870" w:type="dxa"/>
            <w:tcBorders/>
            <w:shd w:color="auto" w:fill="auto" w:val="clear"/>
          </w:tcPr>
          <w:p>
            <w:pPr>
              <w:pStyle w:val="NoSpacing"/>
              <w:spacing w:lineRule="auto" w:line="240"/>
              <w:ind w:left="-35" w:right="-78" w:hanging="0"/>
              <w:jc w:val="both"/>
              <w:rPr/>
            </w:pPr>
            <w:r>
              <w:rPr>
                <w:rFonts w:cs="Times New Roman"/>
                <w:sz w:val="18"/>
                <w:szCs w:val="18"/>
              </w:rPr>
              <w:t>Art. 18, III, a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III, a</w:t>
            </w:r>
            <w:r>
              <w:rPr>
                <w:rFonts w:cs="Times New Roman"/>
                <w:sz w:val="18"/>
                <w:szCs w:val="18"/>
              </w:rPr>
              <w:t xml:space="preserve"> Prov.</w:t>
            </w:r>
            <w:r>
              <w:rPr>
                <w:rFonts w:cs="Times New Roman"/>
                <w:color w:val="00000A"/>
                <w:sz w:val="18"/>
                <w:szCs w:val="18"/>
              </w:rPr>
              <w:t>93</w:t>
            </w:r>
            <w:r>
              <w:rPr>
                <w:rFonts w:cs="Times New Roman"/>
                <w:sz w:val="18"/>
                <w:szCs w:val="18"/>
              </w:rPr>
              <w:t>.</w:t>
            </w:r>
          </w:p>
        </w:tc>
        <w:tc>
          <w:tcPr>
            <w:tcW w:w="5842" w:type="dxa"/>
            <w:tcBorders/>
            <w:shd w:color="auto" w:fill="auto" w:val="clear"/>
          </w:tcPr>
          <w:p>
            <w:pPr>
              <w:pStyle w:val="NoSpacing"/>
              <w:spacing w:lineRule="auto" w:line="240"/>
              <w:rPr/>
            </w:pPr>
            <w:hyperlink r:id="rId6">
              <w:r>
                <w:rPr>
                  <w:rStyle w:val="LinkdaInternet"/>
                  <w:rFonts w:cs="Times New Roman"/>
                  <w:sz w:val="20"/>
                  <w:szCs w:val="20"/>
                </w:rPr>
                <w:t>http://www.receita.fazenda.gov.br/Grupo2/Certidoes.htm</w:t>
              </w:r>
            </w:hyperlink>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 xml:space="preserve">Certidões </w:t>
            </w:r>
            <w:r>
              <w:rPr>
                <w:rFonts w:cs="Times New Roman"/>
                <w:b/>
              </w:rPr>
              <w:t>negativas</w:t>
            </w:r>
            <w:r>
              <w:rPr>
                <w:rFonts w:cs="Times New Roman"/>
              </w:rPr>
              <w:t xml:space="preserve"> tributos </w:t>
            </w:r>
            <w:r>
              <w:rPr>
                <w:rFonts w:cs="Times New Roman"/>
                <w:u w:val="single"/>
              </w:rPr>
              <w:t>estaduais</w:t>
            </w:r>
            <w:r>
              <w:rPr>
                <w:rFonts w:cs="Times New Roman"/>
              </w:rPr>
              <w:t xml:space="preserve">, incidentes sobre o imóvel. </w:t>
            </w:r>
          </w:p>
        </w:tc>
        <w:tc>
          <w:tcPr>
            <w:tcW w:w="1870" w:type="dxa"/>
            <w:tcBorders/>
            <w:shd w:color="auto" w:fill="auto" w:val="clear"/>
          </w:tcPr>
          <w:p>
            <w:pPr>
              <w:pStyle w:val="NoSpacing"/>
              <w:spacing w:lineRule="auto" w:line="240"/>
              <w:ind w:left="-35" w:right="-78" w:hanging="0"/>
              <w:jc w:val="both"/>
              <w:rPr/>
            </w:pPr>
            <w:r>
              <w:rPr>
                <w:rFonts w:cs="Times New Roman"/>
                <w:sz w:val="18"/>
                <w:szCs w:val="18"/>
              </w:rPr>
              <w:t>Art. 18, III, a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III, a</w:t>
            </w:r>
            <w:r>
              <w:rPr>
                <w:rFonts w:cs="Times New Roman"/>
                <w:sz w:val="18"/>
                <w:szCs w:val="18"/>
              </w:rPr>
              <w:t xml:space="preserve"> Prov.</w:t>
            </w:r>
            <w:r>
              <w:rPr>
                <w:rFonts w:cs="Times New Roman"/>
                <w:color w:val="00000A"/>
                <w:sz w:val="18"/>
                <w:szCs w:val="18"/>
              </w:rPr>
              <w:t>93</w:t>
            </w:r>
            <w:r>
              <w:rPr>
                <w:rFonts w:cs="Times New Roman"/>
                <w:sz w:val="18"/>
                <w:szCs w:val="18"/>
              </w:rPr>
              <w:t>.</w:t>
            </w:r>
          </w:p>
        </w:tc>
        <w:tc>
          <w:tcPr>
            <w:tcW w:w="5842" w:type="dxa"/>
            <w:tcBorders/>
            <w:shd w:color="auto" w:fill="auto" w:val="clear"/>
          </w:tcPr>
          <w:p>
            <w:pPr>
              <w:pStyle w:val="NoSpacing"/>
              <w:spacing w:lineRule="auto" w:line="240"/>
              <w:rPr/>
            </w:pPr>
            <w:hyperlink r:id="rId7">
              <w:r>
                <w:rPr>
                  <w:rStyle w:val="LinkdaInternet"/>
                  <w:rFonts w:cs="Times New Roman"/>
                  <w:sz w:val="20"/>
                  <w:szCs w:val="20"/>
                </w:rPr>
                <w:t>http://www.fazenda.mg.gov.br/empresas/certidao_debitos/</w:t>
              </w:r>
            </w:hyperlink>
            <w:r>
              <w:rPr>
                <w:rFonts w:cs="Times New Roman"/>
                <w:sz w:val="20"/>
                <w:szCs w:val="20"/>
              </w:rPr>
              <w:t xml:space="preserve"> </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 xml:space="preserve">Certidões </w:t>
            </w:r>
            <w:r>
              <w:rPr>
                <w:rFonts w:cs="Times New Roman"/>
                <w:b/>
              </w:rPr>
              <w:t>negativas</w:t>
            </w:r>
            <w:r>
              <w:rPr>
                <w:rFonts w:cs="Times New Roman"/>
              </w:rPr>
              <w:t xml:space="preserve"> tributos </w:t>
            </w:r>
            <w:r>
              <w:rPr>
                <w:rFonts w:cs="Times New Roman"/>
                <w:u w:val="single"/>
              </w:rPr>
              <w:t>municipais</w:t>
            </w:r>
            <w:r>
              <w:rPr>
                <w:rFonts w:cs="Times New Roman"/>
              </w:rPr>
              <w:t>, incidentes sobre o imóvel e sobre o contribuinte.</w:t>
            </w:r>
          </w:p>
        </w:tc>
        <w:tc>
          <w:tcPr>
            <w:tcW w:w="1870" w:type="dxa"/>
            <w:tcBorders/>
            <w:shd w:color="auto" w:fill="auto" w:val="clear"/>
          </w:tcPr>
          <w:p>
            <w:pPr>
              <w:pStyle w:val="NoSpacing"/>
              <w:spacing w:lineRule="auto" w:line="240"/>
              <w:ind w:left="-35" w:right="-78" w:hanging="0"/>
              <w:jc w:val="both"/>
              <w:rPr/>
            </w:pPr>
            <w:r>
              <w:rPr>
                <w:rFonts w:cs="Times New Roman"/>
                <w:sz w:val="18"/>
                <w:szCs w:val="18"/>
              </w:rPr>
              <w:t>Art. 18, III, a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996, III, a</w:t>
            </w:r>
            <w:r>
              <w:rPr>
                <w:rFonts w:cs="Times New Roman"/>
                <w:sz w:val="18"/>
                <w:szCs w:val="18"/>
              </w:rPr>
              <w:t xml:space="preserve"> Prov.</w:t>
            </w:r>
            <w:r>
              <w:rPr>
                <w:rFonts w:cs="Times New Roman"/>
                <w:color w:val="00000A"/>
                <w:sz w:val="18"/>
                <w:szCs w:val="18"/>
              </w:rPr>
              <w:t>93</w:t>
            </w:r>
            <w:r>
              <w:rPr>
                <w:rFonts w:cs="Times New Roman"/>
                <w:sz w:val="18"/>
                <w:szCs w:val="18"/>
              </w:rPr>
              <w:t>.</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Prefeitura Municipal (Praça Getúlio Vargas, 18, Centro - S.A.Monte)</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 xml:space="preserve">Certidões </w:t>
            </w:r>
            <w:r>
              <w:rPr>
                <w:rFonts w:cs="Times New Roman"/>
                <w:b/>
              </w:rPr>
              <w:t>negativas</w:t>
            </w:r>
            <w:r>
              <w:rPr>
                <w:rFonts w:cs="Times New Roman"/>
              </w:rPr>
              <w:t xml:space="preserve"> de ações reais referentes ao imóvel, pelo período de 10 (dez) anos </w:t>
            </w:r>
            <w:r>
              <w:rPr>
                <w:rStyle w:val="Ncoradanotaderodap"/>
                <w:rFonts w:cs="Times New Roman"/>
              </w:rPr>
              <w:footnoteReference w:id="5"/>
            </w:r>
            <w:r>
              <w:rPr>
                <w:rFonts w:cs="Times New Roman"/>
              </w:rPr>
              <w:t xml:space="preserve">, não expedidas há mais de 3 (três) meses. </w:t>
            </w:r>
          </w:p>
        </w:tc>
        <w:tc>
          <w:tcPr>
            <w:tcW w:w="1870" w:type="dxa"/>
            <w:tcBorders/>
            <w:shd w:color="auto" w:fill="auto" w:val="clear"/>
          </w:tcPr>
          <w:p>
            <w:pPr>
              <w:pStyle w:val="NoSpacing"/>
              <w:spacing w:lineRule="auto" w:line="240"/>
              <w:ind w:left="-35" w:right="-78" w:hanging="0"/>
              <w:jc w:val="both"/>
              <w:rPr>
                <w:rFonts w:cs="Times New Roman"/>
                <w:sz w:val="18"/>
                <w:szCs w:val="18"/>
                <w:lang w:val="en-US"/>
              </w:rPr>
            </w:pPr>
            <w:r>
              <w:rPr>
                <w:rFonts w:cs="Times New Roman"/>
                <w:sz w:val="18"/>
                <w:szCs w:val="18"/>
                <w:lang w:val="en-US"/>
              </w:rPr>
              <w:t>Art. 18, III,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r>
              <w:rPr>
                <w:rFonts w:cs="Times New Roman"/>
                <w:sz w:val="18"/>
                <w:szCs w:val="18"/>
                <w:lang w:val="en-US"/>
              </w:rPr>
              <w:t xml:space="preserve"> </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Secretaria Judicial - fórum (Praça Getúlio Vargas, 39 – S.A.Monte)</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pPr>
            <w:r>
              <w:rPr>
                <w:rFonts w:cs="Times New Roman"/>
              </w:rPr>
              <w:t xml:space="preserve">Certidões </w:t>
            </w:r>
            <w:r>
              <w:rPr>
                <w:rFonts w:cs="Times New Roman"/>
                <w:b/>
              </w:rPr>
              <w:t>negativas</w:t>
            </w:r>
            <w:r>
              <w:rPr>
                <w:rFonts w:cs="Times New Roman"/>
              </w:rPr>
              <w:t xml:space="preserve"> de ações penais com respeito ao crime contra o patrimônio e contra a Administração Pública, Justiça Comum e Federal, não expedidas há mais de 3 (três) meses. </w:t>
            </w:r>
            <w:r>
              <w:rPr>
                <w:rStyle w:val="Ncoradanotaderodap"/>
                <w:rFonts w:cs="Times New Roman"/>
              </w:rPr>
              <w:footnoteReference w:id="6"/>
            </w:r>
            <w:r>
              <w:rPr>
                <w:rFonts w:cs="Times New Roman"/>
              </w:rPr>
              <w:t xml:space="preserve"> </w:t>
            </w:r>
            <w:r>
              <w:rPr>
                <w:rStyle w:val="Ncoradanotaderodap"/>
                <w:rFonts w:cs="Times New Roman"/>
              </w:rPr>
              <w:footnoteReference w:id="7"/>
            </w:r>
          </w:p>
        </w:tc>
        <w:tc>
          <w:tcPr>
            <w:tcW w:w="1870" w:type="dxa"/>
            <w:tcBorders/>
            <w:shd w:color="auto" w:fill="auto" w:val="clear"/>
          </w:tcPr>
          <w:p>
            <w:pPr>
              <w:pStyle w:val="NoSpacing"/>
              <w:spacing w:lineRule="auto" w:line="240"/>
              <w:ind w:left="-35" w:right="-78" w:hanging="0"/>
              <w:jc w:val="both"/>
              <w:rPr/>
            </w:pPr>
            <w:r>
              <w:rPr>
                <w:rFonts w:cs="Times New Roman"/>
                <w:sz w:val="18"/>
                <w:szCs w:val="18"/>
                <w:lang w:val="en-US"/>
              </w:rPr>
              <w:t>Art. 18, III, c Lei 6.766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III, b</w:t>
            </w:r>
            <w:r>
              <w:rPr>
                <w:rFonts w:cs="Times New Roman"/>
                <w:sz w:val="18"/>
                <w:szCs w:val="18"/>
                <w:lang w:val="en-US"/>
              </w:rPr>
              <w:t xml:space="preserve"> Prov.</w:t>
            </w:r>
            <w:r>
              <w:rPr>
                <w:rFonts w:cs="Times New Roman"/>
                <w:color w:val="00000A"/>
                <w:sz w:val="18"/>
                <w:szCs w:val="18"/>
                <w:lang w:val="en-US"/>
              </w:rPr>
              <w:t>93</w:t>
            </w:r>
            <w:r>
              <w:rPr>
                <w:rFonts w:cs="Times New Roman"/>
                <w:sz w:val="18"/>
                <w:szCs w:val="18"/>
                <w:lang w:val="en-US"/>
              </w:rPr>
              <w:t>.</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842" w:type="dxa"/>
            <w:tcBorders/>
            <w:shd w:color="auto" w:fill="auto" w:val="clear"/>
          </w:tcPr>
          <w:p>
            <w:pPr>
              <w:pStyle w:val="Normal"/>
              <w:spacing w:lineRule="auto" w:line="240" w:before="0" w:after="0"/>
              <w:rPr>
                <w:rFonts w:cs="Times New Roman"/>
                <w:sz w:val="20"/>
                <w:szCs w:val="20"/>
              </w:rPr>
            </w:pPr>
            <w:r>
              <w:rPr>
                <w:rFonts w:cs="Times New Roman"/>
                <w:sz w:val="20"/>
                <w:szCs w:val="20"/>
              </w:rPr>
              <w:t>Secretaria Judicial - fórum (Praça Getúlio Vargas, 39 – S.A.Monte)</w:t>
            </w:r>
          </w:p>
          <w:p>
            <w:pPr>
              <w:pStyle w:val="Normal"/>
              <w:spacing w:lineRule="auto" w:line="240" w:before="0" w:after="0"/>
              <w:rPr>
                <w:sz w:val="20"/>
                <w:szCs w:val="20"/>
              </w:rPr>
            </w:pPr>
            <w:r>
              <w:rPr>
                <w:rFonts w:cs="Times New Roman"/>
                <w:sz w:val="20"/>
                <w:szCs w:val="20"/>
              </w:rPr>
              <w:t>Capital do Estado (foro privilegiado)</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 xml:space="preserve">Certidões dos cartórios de protestos de títulos, em nome do loteador, pelo período de 10 (dez) anos, não expedidas há mais de 3 (três) meses. </w:t>
            </w:r>
            <w:r>
              <w:rPr>
                <w:rStyle w:val="Ncoradanotaderodap"/>
                <w:rFonts w:cs="Times New Roman"/>
              </w:rPr>
              <w:footnoteReference w:id="8"/>
            </w:r>
            <w:r>
              <w:rPr>
                <w:rFonts w:cs="Times New Roman"/>
              </w:rPr>
              <w:t xml:space="preserve"> </w:t>
            </w:r>
            <w:r>
              <w:rPr>
                <w:rStyle w:val="Ncoradanotaderodap"/>
                <w:rFonts w:cs="Times New Roman"/>
              </w:rPr>
              <w:footnoteReference w:id="9"/>
            </w:r>
            <w:r>
              <w:rPr>
                <w:rFonts w:cs="Times New Roman"/>
              </w:rPr>
              <w:t xml:space="preserve"> </w:t>
            </w:r>
          </w:p>
        </w:tc>
        <w:tc>
          <w:tcPr>
            <w:tcW w:w="1870" w:type="dxa"/>
            <w:tcBorders/>
            <w:shd w:color="auto" w:fill="auto" w:val="clear"/>
          </w:tcPr>
          <w:p>
            <w:pPr>
              <w:pStyle w:val="NoSpacing"/>
              <w:spacing w:lineRule="auto" w:line="240"/>
              <w:ind w:left="-35" w:right="-78" w:hanging="0"/>
              <w:jc w:val="both"/>
              <w:rPr/>
            </w:pPr>
            <w:r>
              <w:rPr>
                <w:rFonts w:cs="Times New Roman"/>
                <w:sz w:val="18"/>
                <w:szCs w:val="18"/>
                <w:lang w:val="en-US"/>
              </w:rPr>
              <w:t>Art. 18, IV, a Lei 6.766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IV</w:t>
            </w:r>
            <w:r>
              <w:rPr>
                <w:rFonts w:cs="Times New Roman"/>
                <w:sz w:val="18"/>
                <w:szCs w:val="18"/>
                <w:lang w:val="en-US"/>
              </w:rPr>
              <w:t xml:space="preserve"> Prov.</w:t>
            </w:r>
            <w:r>
              <w:rPr>
                <w:rFonts w:cs="Times New Roman"/>
                <w:color w:val="00000A"/>
                <w:sz w:val="18"/>
                <w:szCs w:val="18"/>
                <w:lang w:val="en-US"/>
              </w:rPr>
              <w:t>93</w:t>
            </w:r>
            <w:r>
              <w:rPr>
                <w:rFonts w:cs="Times New Roman"/>
                <w:sz w:val="18"/>
                <w:szCs w:val="18"/>
                <w:lang w:val="en-US"/>
              </w:rPr>
              <w:t>.</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842" w:type="dxa"/>
            <w:tcBorders/>
            <w:shd w:color="auto" w:fill="auto" w:val="clear"/>
          </w:tcPr>
          <w:p>
            <w:pPr>
              <w:pStyle w:val="Normal"/>
              <w:spacing w:lineRule="auto" w:line="240" w:before="0" w:after="0"/>
              <w:rPr>
                <w:sz w:val="20"/>
                <w:szCs w:val="20"/>
              </w:rPr>
            </w:pPr>
            <w:r>
              <w:rPr>
                <w:sz w:val="20"/>
                <w:szCs w:val="20"/>
              </w:rPr>
              <w:t>Cartórios de Protestos de Títulos (Rua Getúlio Vargas, n° 77 – Sala 307, Centro, S.A.Monte)</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bookmarkStart w:id="5" w:name="_Hlk513017176"/>
            <w:r>
              <w:rPr>
                <w:rFonts w:cs="Times New Roman"/>
              </w:rPr>
              <w:t>Certidões de feitos da Justiça Estadual (cíveis e criminais) – 1ª Instância, relativas ao loteador, pelo período de 10 (dez) anos, não expedidas há mais de 3 (três) meses</w:t>
            </w:r>
            <w:bookmarkEnd w:id="5"/>
            <w:r>
              <w:rPr>
                <w:rFonts w:cs="Times New Roman"/>
              </w:rPr>
              <w:t xml:space="preserve">. </w:t>
            </w:r>
            <w:r>
              <w:rPr>
                <w:rStyle w:val="Ncoradanotaderodap"/>
                <w:rFonts w:cs="Times New Roman"/>
              </w:rPr>
              <w:footnoteReference w:id="10"/>
            </w:r>
            <w:r>
              <w:rPr>
                <w:rFonts w:cs="Times New Roman"/>
              </w:rPr>
              <w:t xml:space="preserve"> </w:t>
            </w:r>
          </w:p>
        </w:tc>
        <w:tc>
          <w:tcPr>
            <w:tcW w:w="1870" w:type="dxa"/>
            <w:tcBorders/>
            <w:shd w:color="auto" w:fill="auto" w:val="clear"/>
          </w:tcPr>
          <w:p>
            <w:pPr>
              <w:pStyle w:val="NoSpacing"/>
              <w:spacing w:lineRule="auto" w:line="240"/>
              <w:ind w:left="-35" w:right="-78" w:hanging="0"/>
              <w:jc w:val="both"/>
              <w:rPr>
                <w:rFonts w:cs="Times New Roman"/>
                <w:sz w:val="18"/>
                <w:szCs w:val="18"/>
                <w:lang w:val="en-US"/>
              </w:rPr>
            </w:pPr>
            <w:r>
              <w:rPr>
                <w:rFonts w:cs="Times New Roman"/>
                <w:sz w:val="18"/>
                <w:szCs w:val="18"/>
                <w:lang w:val="en-US"/>
              </w:rPr>
              <w:t>Art. 18, IV, b, d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Secretaria Judicial - fórum (Praça Getúlio Vargas, s/n°, Centro – S.A.Monte)</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Certidões de feitos da Justiça estadual (cíveis e criminais) – 2ª Instância, relativas ao loteador, pelo período de 10 (dez) anos, não expedidas há mais de 3 (três) meses.</w:t>
            </w:r>
          </w:p>
        </w:tc>
        <w:tc>
          <w:tcPr>
            <w:tcW w:w="1870" w:type="dxa"/>
            <w:tcBorders/>
            <w:shd w:color="auto" w:fill="auto" w:val="clear"/>
          </w:tcPr>
          <w:p>
            <w:pPr>
              <w:pStyle w:val="NoSpacing"/>
              <w:spacing w:lineRule="auto" w:line="240"/>
              <w:ind w:left="-35" w:right="-78" w:hanging="0"/>
              <w:jc w:val="both"/>
              <w:rPr>
                <w:rFonts w:cs="Times New Roman"/>
                <w:sz w:val="18"/>
                <w:szCs w:val="18"/>
                <w:lang w:val="en-US"/>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842" w:type="dxa"/>
            <w:tcBorders/>
            <w:shd w:color="auto" w:fill="auto" w:val="clear"/>
          </w:tcPr>
          <w:p>
            <w:pPr>
              <w:pStyle w:val="NoSpacing"/>
              <w:spacing w:lineRule="auto" w:line="240"/>
              <w:rPr/>
            </w:pPr>
            <w:hyperlink r:id="rId8">
              <w:r>
                <w:rPr>
                  <w:rStyle w:val="LinkdaInternet"/>
                  <w:rFonts w:cs="Times New Roman"/>
                  <w:sz w:val="20"/>
                  <w:szCs w:val="20"/>
                  <w:lang w:val="en-US"/>
                </w:rPr>
                <w:t>http://www8.tjmg.jus.br/certidaoJudicial/faces/emitirCertidao.xhtml</w:t>
              </w:r>
            </w:hyperlink>
          </w:p>
          <w:p>
            <w:pPr>
              <w:pStyle w:val="NoSpacing"/>
              <w:spacing w:lineRule="auto" w:line="240"/>
              <w:rPr>
                <w:rFonts w:cs="Times New Roman"/>
                <w:sz w:val="20"/>
                <w:szCs w:val="20"/>
                <w:lang w:val="en-US"/>
              </w:rPr>
            </w:pPr>
            <w:r>
              <w:rPr>
                <w:rFonts w:cs="Times New Roman"/>
                <w:sz w:val="20"/>
                <w:szCs w:val="20"/>
                <w:lang w:val="en-US"/>
              </w:rPr>
            </w:r>
          </w:p>
        </w:tc>
      </w:tr>
      <w:tr>
        <w:trPr/>
        <w:tc>
          <w:tcPr>
            <w:tcW w:w="459" w:type="dxa"/>
            <w:tcBorders>
              <w:top w:val="nil"/>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top w:val="nil"/>
            </w:tcBorders>
            <w:shd w:color="auto" w:fill="auto" w:val="clear"/>
          </w:tcPr>
          <w:p>
            <w:pPr>
              <w:pStyle w:val="NoSpacing"/>
              <w:spacing w:lineRule="auto" w:line="240"/>
              <w:rPr/>
            </w:pPr>
            <w:r>
              <w:rPr>
                <w:rFonts w:cs="Times New Roman"/>
              </w:rPr>
              <w:t xml:space="preserve">Certidões de feitos dos Juizados Especiais Estaduais </w:t>
            </w:r>
          </w:p>
        </w:tc>
        <w:tc>
          <w:tcPr>
            <w:tcW w:w="1870" w:type="dxa"/>
            <w:tcBorders>
              <w:top w:val="nil"/>
            </w:tcBorders>
            <w:shd w:color="auto" w:fill="auto" w:val="clear"/>
          </w:tcPr>
          <w:p>
            <w:pPr>
              <w:pStyle w:val="NoSpacing"/>
              <w:spacing w:lineRule="auto" w:line="240"/>
              <w:ind w:left="-35" w:right="-78" w:hanging="0"/>
              <w:jc w:val="both"/>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842" w:type="dxa"/>
            <w:tcBorders>
              <w:top w:val="nil"/>
            </w:tcBorders>
            <w:shd w:color="auto" w:fill="auto" w:val="clear"/>
          </w:tcPr>
          <w:p>
            <w:pPr>
              <w:pStyle w:val="NoSpacing"/>
              <w:spacing w:lineRule="auto" w:line="240"/>
              <w:rPr/>
            </w:pPr>
            <w:hyperlink r:id="rId9">
              <w:r>
                <w:rPr>
                  <w:rStyle w:val="LinkdaInternet"/>
                  <w:rFonts w:cs="Times New Roman"/>
                  <w:sz w:val="20"/>
                  <w:szCs w:val="20"/>
                  <w:lang w:val="en-US"/>
                </w:rPr>
                <w:t>http://www8.tjmg.jus.br/certidaoJudicial/faces/emitirCertidao.xhtml</w:t>
              </w:r>
            </w:hyperlink>
          </w:p>
          <w:p>
            <w:pPr>
              <w:pStyle w:val="NoSpacing"/>
              <w:spacing w:lineRule="auto" w:line="240"/>
              <w:rPr>
                <w:rFonts w:cs="Times New Roman"/>
                <w:sz w:val="20"/>
                <w:szCs w:val="20"/>
                <w:lang w:val="en-US"/>
              </w:rPr>
            </w:pPr>
            <w:r>
              <w:rPr>
                <w:rFonts w:cs="Times New Roman"/>
                <w:sz w:val="20"/>
                <w:szCs w:val="20"/>
                <w:lang w:val="en-US"/>
              </w:rPr>
            </w:r>
          </w:p>
        </w:tc>
      </w:tr>
      <w:tr>
        <w:trPr/>
        <w:tc>
          <w:tcPr>
            <w:tcW w:w="459" w:type="dxa"/>
            <w:tcBorders/>
            <w:shd w:color="auto" w:fill="auto" w:val="clear"/>
          </w:tcPr>
          <w:p>
            <w:pPr>
              <w:pStyle w:val="NoSpacing"/>
              <w:numPr>
                <w:ilvl w:val="0"/>
                <w:numId w:val="1"/>
              </w:numPr>
              <w:spacing w:lineRule="auto" w:line="240"/>
              <w:jc w:val="center"/>
              <w:rPr>
                <w:rFonts w:cs="Times New Roman"/>
                <w:lang w:val="en-US"/>
              </w:rPr>
            </w:pPr>
            <w:r>
              <w:rPr>
                <w:rFonts w:cs="Times New Roman"/>
                <w:lang w:val="en-US"/>
              </w:rPr>
            </w:r>
          </w:p>
        </w:tc>
        <w:tc>
          <w:tcPr>
            <w:tcW w:w="7441" w:type="dxa"/>
            <w:tcBorders/>
            <w:shd w:color="auto" w:fill="auto" w:val="clear"/>
          </w:tcPr>
          <w:p>
            <w:pPr>
              <w:pStyle w:val="NoSpacing"/>
              <w:spacing w:lineRule="auto" w:line="240"/>
              <w:rPr>
                <w:rFonts w:cs="Times New Roman"/>
              </w:rPr>
            </w:pPr>
            <w:r>
              <w:rPr>
                <w:rFonts w:cs="Times New Roman"/>
              </w:rPr>
              <w:t xml:space="preserve">Certidões de feitos da Justiça Federal (cíveis e criminais) relativas ao loteador, pelo período de 10 (dez) anos, não expedidas há mais de 3 (três) meses. </w:t>
            </w:r>
          </w:p>
        </w:tc>
        <w:tc>
          <w:tcPr>
            <w:tcW w:w="1870" w:type="dxa"/>
            <w:tcBorders/>
            <w:shd w:color="auto" w:fill="auto" w:val="clear"/>
          </w:tcPr>
          <w:p>
            <w:pPr>
              <w:pStyle w:val="NoSpacing"/>
              <w:spacing w:lineRule="auto" w:line="240"/>
              <w:ind w:left="-35" w:right="-78" w:hanging="0"/>
              <w:jc w:val="both"/>
              <w:rPr>
                <w:rFonts w:cs="Times New Roman"/>
                <w:sz w:val="18"/>
                <w:szCs w:val="18"/>
                <w:lang w:val="en-US"/>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842" w:type="dxa"/>
            <w:tcBorders/>
            <w:shd w:color="auto" w:fill="auto" w:val="clear"/>
          </w:tcPr>
          <w:p>
            <w:pPr>
              <w:pStyle w:val="NoSpacing"/>
              <w:spacing w:lineRule="auto" w:line="240"/>
              <w:rPr/>
            </w:pPr>
            <w:hyperlink r:id="rId10">
              <w:r>
                <w:rPr>
                  <w:rStyle w:val="LinkdaInternet"/>
                  <w:rFonts w:cs="Times New Roman"/>
                  <w:sz w:val="20"/>
                  <w:szCs w:val="20"/>
                  <w:lang w:val="en-US"/>
                </w:rPr>
                <w:t>http://www.trf1.jus.br/Servicos/Certidao/</w:t>
              </w:r>
            </w:hyperlink>
          </w:p>
          <w:p>
            <w:pPr>
              <w:pStyle w:val="NoSpacing"/>
              <w:spacing w:lineRule="auto" w:line="240"/>
              <w:rPr>
                <w:rFonts w:cs="Times New Roman"/>
                <w:sz w:val="20"/>
                <w:szCs w:val="20"/>
                <w:lang w:val="en-US"/>
              </w:rPr>
            </w:pPr>
            <w:r>
              <w:rPr>
                <w:rFonts w:cs="Times New Roman"/>
                <w:sz w:val="20"/>
                <w:szCs w:val="20"/>
                <w:lang w:val="en-US"/>
              </w:rPr>
            </w:r>
          </w:p>
        </w:tc>
      </w:tr>
      <w:tr>
        <w:trPr/>
        <w:tc>
          <w:tcPr>
            <w:tcW w:w="459" w:type="dxa"/>
            <w:tcBorders>
              <w:top w:val="nil"/>
            </w:tcBorders>
            <w:shd w:color="auto" w:fill="auto" w:val="clear"/>
          </w:tcPr>
          <w:p>
            <w:pPr>
              <w:pStyle w:val="NoSpacing"/>
              <w:numPr>
                <w:ilvl w:val="0"/>
                <w:numId w:val="1"/>
              </w:numPr>
              <w:spacing w:lineRule="auto" w:line="240"/>
              <w:jc w:val="center"/>
              <w:rPr>
                <w:rFonts w:cs="Times New Roman"/>
                <w:lang w:val="en-US"/>
              </w:rPr>
            </w:pPr>
            <w:r>
              <w:rPr>
                <w:rFonts w:cs="Times New Roman"/>
                <w:lang w:val="en-US"/>
              </w:rPr>
            </w:r>
          </w:p>
        </w:tc>
        <w:tc>
          <w:tcPr>
            <w:tcW w:w="7441" w:type="dxa"/>
            <w:tcBorders>
              <w:top w:val="nil"/>
            </w:tcBorders>
            <w:shd w:color="auto" w:fill="auto" w:val="clear"/>
          </w:tcPr>
          <w:p>
            <w:pPr>
              <w:pStyle w:val="NoSpacing"/>
              <w:spacing w:lineRule="auto" w:line="240"/>
              <w:rPr/>
            </w:pPr>
            <w:r>
              <w:rPr>
                <w:rFonts w:cs="Times New Roman"/>
              </w:rPr>
              <w:t xml:space="preserve">Certidões de feitos dos Juizados Especiais </w:t>
            </w:r>
            <w:r>
              <w:rPr>
                <w:rFonts w:eastAsia="Calibri" w:cs="Times New Roman"/>
                <w:color w:val="00000A"/>
                <w:kern w:val="0"/>
                <w:sz w:val="22"/>
                <w:szCs w:val="22"/>
                <w:lang w:val="pt-BR" w:eastAsia="en-US" w:bidi="ar-SA"/>
              </w:rPr>
              <w:t>Federais</w:t>
            </w:r>
          </w:p>
        </w:tc>
        <w:tc>
          <w:tcPr>
            <w:tcW w:w="1870" w:type="dxa"/>
            <w:tcBorders>
              <w:top w:val="nil"/>
            </w:tcBorders>
            <w:shd w:color="auto" w:fill="auto" w:val="clear"/>
          </w:tcPr>
          <w:p>
            <w:pPr>
              <w:pStyle w:val="NoSpacing"/>
              <w:spacing w:lineRule="auto" w:line="240"/>
              <w:ind w:left="-35" w:right="-78" w:hanging="0"/>
              <w:jc w:val="both"/>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842" w:type="dxa"/>
            <w:tcBorders>
              <w:top w:val="nil"/>
            </w:tcBorders>
            <w:shd w:color="auto" w:fill="auto" w:val="clear"/>
          </w:tcPr>
          <w:p>
            <w:pPr>
              <w:pStyle w:val="NoSpacing"/>
              <w:spacing w:lineRule="auto" w:line="240"/>
              <w:rPr/>
            </w:pPr>
            <w:hyperlink r:id="rId11">
              <w:r>
                <w:rPr>
                  <w:rStyle w:val="LinkdaInternet"/>
                  <w:rFonts w:cs="Times New Roman"/>
                  <w:sz w:val="18"/>
                  <w:szCs w:val="18"/>
                  <w:lang w:val="en-US"/>
                </w:rPr>
                <w:t>http://www.trf1.jus.br/Servicos/Certidao/</w:t>
              </w:r>
            </w:hyperlink>
          </w:p>
        </w:tc>
      </w:tr>
      <w:tr>
        <w:trPr/>
        <w:tc>
          <w:tcPr>
            <w:tcW w:w="459" w:type="dxa"/>
            <w:tcBorders/>
            <w:shd w:color="auto" w:fill="auto" w:val="clear"/>
          </w:tcPr>
          <w:p>
            <w:pPr>
              <w:pStyle w:val="NoSpacing"/>
              <w:numPr>
                <w:ilvl w:val="0"/>
                <w:numId w:val="1"/>
              </w:numPr>
              <w:spacing w:lineRule="auto" w:line="240"/>
              <w:jc w:val="center"/>
              <w:rPr>
                <w:rFonts w:cs="Times New Roman"/>
                <w:lang w:val="en-US"/>
              </w:rPr>
            </w:pPr>
            <w:r>
              <w:rPr>
                <w:rFonts w:cs="Times New Roman"/>
                <w:lang w:val="en-US"/>
              </w:rPr>
            </w:r>
          </w:p>
        </w:tc>
        <w:tc>
          <w:tcPr>
            <w:tcW w:w="7441" w:type="dxa"/>
            <w:tcBorders/>
            <w:shd w:color="auto" w:fill="auto" w:val="clear"/>
          </w:tcPr>
          <w:p>
            <w:pPr>
              <w:pStyle w:val="NoSpacing"/>
              <w:spacing w:lineRule="auto" w:line="240"/>
              <w:rPr>
                <w:rFonts w:cs="Times New Roman"/>
              </w:rPr>
            </w:pPr>
            <w:r>
              <w:rPr>
                <w:rFonts w:cs="Times New Roman"/>
              </w:rPr>
              <w:t xml:space="preserve">Certidões de feitos ajuizados na justiça do trabalho (1° e 2° Instâncias) relativas ao loteador, pelo período de 10 (dez) anos, não expedidas há mais de 3 (três) meses. </w:t>
            </w:r>
          </w:p>
        </w:tc>
        <w:tc>
          <w:tcPr>
            <w:tcW w:w="1870" w:type="dxa"/>
            <w:tcBorders/>
            <w:shd w:color="auto" w:fill="auto" w:val="clear"/>
          </w:tcPr>
          <w:p>
            <w:pPr>
              <w:pStyle w:val="NoSpacing"/>
              <w:spacing w:lineRule="auto" w:line="240"/>
              <w:ind w:left="-35" w:right="-78" w:hanging="0"/>
              <w:jc w:val="both"/>
              <w:rPr>
                <w:rFonts w:cs="Times New Roman"/>
                <w:sz w:val="18"/>
                <w:szCs w:val="18"/>
                <w:lang w:val="en-US"/>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842" w:type="dxa"/>
            <w:tcBorders/>
            <w:shd w:color="auto" w:fill="auto" w:val="clear"/>
          </w:tcPr>
          <w:p>
            <w:pPr>
              <w:pStyle w:val="NoSpacing"/>
              <w:spacing w:lineRule="auto" w:line="240"/>
              <w:rPr/>
            </w:pPr>
            <w:hyperlink r:id="rId12">
              <w:r>
                <w:rPr>
                  <w:rStyle w:val="LinkdaInternet"/>
                  <w:rFonts w:cs="Times New Roman"/>
                  <w:sz w:val="20"/>
                  <w:szCs w:val="20"/>
                  <w:lang w:val="en-US"/>
                </w:rPr>
                <w:t>http://as3.trt3.jus.br/certidao/feitosTrabalhistas/aba1.emissao.htm</w:t>
              </w:r>
            </w:hyperlink>
          </w:p>
          <w:p>
            <w:pPr>
              <w:pStyle w:val="NoSpacing"/>
              <w:spacing w:lineRule="auto" w:line="240"/>
              <w:rPr>
                <w:rFonts w:cs="Times New Roman"/>
                <w:sz w:val="20"/>
                <w:szCs w:val="20"/>
              </w:rPr>
            </w:pPr>
            <w:r>
              <w:rPr>
                <w:rFonts w:cs="Times New Roman"/>
                <w:sz w:val="20"/>
                <w:szCs w:val="20"/>
              </w:rPr>
              <w:t>ou Secretaria Judicial - fórum (Praça Getúlio Vargas, 39 – S.A.Monte)</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Certidão Negativa de Débitos Trabalhistas – CNDT - relativas ao loteador, pelo período de 10 (dez) anos, não expedidas há mais de 3 (três) meses.</w:t>
            </w:r>
          </w:p>
        </w:tc>
        <w:tc>
          <w:tcPr>
            <w:tcW w:w="1870" w:type="dxa"/>
            <w:tcBorders/>
            <w:shd w:color="auto" w:fill="auto" w:val="clear"/>
          </w:tcPr>
          <w:p>
            <w:pPr>
              <w:pStyle w:val="NoSpacing"/>
              <w:spacing w:lineRule="auto" w:line="240"/>
              <w:ind w:left="-35" w:right="-78" w:hanging="0"/>
              <w:jc w:val="both"/>
              <w:rPr>
                <w:rFonts w:cs="Times New Roman"/>
                <w:sz w:val="18"/>
                <w:szCs w:val="18"/>
                <w:lang w:val="en-US"/>
              </w:rPr>
            </w:pPr>
            <w:r>
              <w:rPr>
                <w:rFonts w:cs="Times New Roman"/>
                <w:sz w:val="18"/>
                <w:szCs w:val="18"/>
                <w:lang w:val="en-US"/>
              </w:rPr>
              <w:t>Art. 18, IV, b Lei 6.766</w:t>
            </w:r>
          </w:p>
          <w:p>
            <w:pPr>
              <w:pStyle w:val="NoSpacing"/>
              <w:spacing w:lineRule="auto" w:line="240"/>
              <w:ind w:left="-35" w:right="-78" w:hanging="0"/>
              <w:jc w:val="both"/>
              <w:rPr/>
            </w:pPr>
            <w:r>
              <w:rPr>
                <w:rFonts w:cs="Times New Roman"/>
                <w:sz w:val="18"/>
                <w:szCs w:val="18"/>
                <w:lang w:val="en-US"/>
              </w:rPr>
              <w:t>§1° Art. 1.002, Prov.</w:t>
            </w:r>
            <w:r>
              <w:rPr>
                <w:rFonts w:cs="Times New Roman"/>
                <w:color w:val="00000A"/>
                <w:sz w:val="18"/>
                <w:szCs w:val="18"/>
                <w:lang w:val="en-US"/>
              </w:rPr>
              <w:t>93</w:t>
            </w:r>
          </w:p>
        </w:tc>
        <w:tc>
          <w:tcPr>
            <w:tcW w:w="5842" w:type="dxa"/>
            <w:tcBorders/>
            <w:shd w:color="auto" w:fill="auto" w:val="clear"/>
          </w:tcPr>
          <w:p>
            <w:pPr>
              <w:pStyle w:val="NoSpacing"/>
              <w:spacing w:lineRule="auto" w:line="240"/>
              <w:rPr/>
            </w:pPr>
            <w:hyperlink r:id="rId13">
              <w:r>
                <w:rPr>
                  <w:rStyle w:val="LinkdaInternet"/>
                  <w:rFonts w:cs="Times New Roman"/>
                  <w:sz w:val="20"/>
                  <w:szCs w:val="20"/>
                  <w:lang w:val="en-US"/>
                </w:rPr>
                <w:t>http://www.tst.jus.br/certidao</w:t>
              </w:r>
            </w:hyperlink>
          </w:p>
          <w:p>
            <w:pPr>
              <w:pStyle w:val="NoSpacing"/>
              <w:spacing w:lineRule="auto" w:line="240"/>
              <w:rPr>
                <w:rFonts w:cs="Times New Roman"/>
                <w:sz w:val="20"/>
                <w:szCs w:val="20"/>
                <w:lang w:val="en-US"/>
              </w:rPr>
            </w:pPr>
            <w:r>
              <w:rPr>
                <w:rFonts w:cs="Times New Roman"/>
                <w:sz w:val="20"/>
                <w:szCs w:val="20"/>
                <w:lang w:val="en-US"/>
              </w:rPr>
            </w:r>
          </w:p>
        </w:tc>
      </w:tr>
      <w:tr>
        <w:trPr/>
        <w:tc>
          <w:tcPr>
            <w:tcW w:w="459" w:type="dxa"/>
            <w:tcBorders/>
            <w:shd w:color="auto" w:fill="auto" w:val="clear"/>
          </w:tcPr>
          <w:p>
            <w:pPr>
              <w:pStyle w:val="NoSpacing"/>
              <w:numPr>
                <w:ilvl w:val="0"/>
                <w:numId w:val="1"/>
              </w:numPr>
              <w:spacing w:lineRule="auto" w:line="240"/>
              <w:jc w:val="center"/>
              <w:rPr>
                <w:rFonts w:cs="Times New Roman"/>
                <w:lang w:val="en-US"/>
              </w:rPr>
            </w:pPr>
            <w:r>
              <w:rPr>
                <w:rFonts w:cs="Times New Roman"/>
                <w:lang w:val="en-US"/>
              </w:rPr>
            </w:r>
          </w:p>
        </w:tc>
        <w:tc>
          <w:tcPr>
            <w:tcW w:w="7441" w:type="dxa"/>
            <w:tcBorders/>
            <w:shd w:color="auto" w:fill="auto" w:val="clear"/>
          </w:tcPr>
          <w:p>
            <w:pPr>
              <w:pStyle w:val="NoSpacing"/>
              <w:spacing w:lineRule="auto" w:line="240"/>
              <w:rPr>
                <w:rFonts w:cs="Times New Roman"/>
              </w:rPr>
            </w:pPr>
            <w:r>
              <w:rPr>
                <w:rFonts w:cs="Times New Roman"/>
              </w:rPr>
              <w:t xml:space="preserve">Exemplar do contrato padrão de promessa de venda, ou de cessão ou de promessa de cessão, do qual constarão obrigatoriamente as indicações previstas no art. 26 desta Lei 6.766/79. </w:t>
            </w:r>
            <w:r>
              <w:rPr>
                <w:rStyle w:val="Ncoradanotaderodap"/>
                <w:rFonts w:cs="Times New Roman"/>
              </w:rPr>
              <w:footnoteReference w:id="11"/>
            </w:r>
          </w:p>
        </w:tc>
        <w:tc>
          <w:tcPr>
            <w:tcW w:w="1870" w:type="dxa"/>
            <w:tcBorders/>
            <w:shd w:color="auto" w:fill="auto" w:val="clear"/>
          </w:tcPr>
          <w:p>
            <w:pPr>
              <w:pStyle w:val="NoSpacing"/>
              <w:spacing w:lineRule="auto" w:line="240"/>
              <w:ind w:left="-35" w:right="-78" w:hanging="0"/>
              <w:jc w:val="both"/>
              <w:rPr/>
            </w:pPr>
            <w:r>
              <w:rPr>
                <w:rFonts w:cs="Times New Roman"/>
                <w:sz w:val="18"/>
                <w:szCs w:val="18"/>
              </w:rPr>
              <w:t>Art. 18, VI, d Lei 6.766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VI,</w:t>
            </w:r>
            <w:r>
              <w:rPr>
                <w:rFonts w:cs="Times New Roman"/>
                <w:sz w:val="18"/>
                <w:szCs w:val="18"/>
                <w:lang w:val="en-US"/>
              </w:rPr>
              <w:t xml:space="preserve"> Prov.</w:t>
            </w:r>
            <w:r>
              <w:rPr>
                <w:rFonts w:cs="Times New Roman"/>
                <w:color w:val="00000A"/>
                <w:sz w:val="18"/>
                <w:szCs w:val="18"/>
                <w:lang w:val="en-US"/>
              </w:rPr>
              <w:t>93</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 xml:space="preserve">Loteador </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 xml:space="preserve">Declaração do cônjuge do requerente de que consente no registro do loteamento. </w:t>
            </w:r>
            <w:r>
              <w:rPr>
                <w:rStyle w:val="Ncoradanotaderodap"/>
                <w:rFonts w:cs="Times New Roman"/>
              </w:rPr>
              <w:footnoteReference w:id="12"/>
            </w:r>
          </w:p>
        </w:tc>
        <w:tc>
          <w:tcPr>
            <w:tcW w:w="1870" w:type="dxa"/>
            <w:tcBorders/>
            <w:shd w:color="auto" w:fill="auto" w:val="clear"/>
          </w:tcPr>
          <w:p>
            <w:pPr>
              <w:pStyle w:val="NoSpacing"/>
              <w:spacing w:lineRule="auto" w:line="240"/>
              <w:ind w:left="-35" w:right="-78" w:hanging="0"/>
              <w:jc w:val="both"/>
              <w:rPr/>
            </w:pPr>
            <w:r>
              <w:rPr>
                <w:rFonts w:cs="Times New Roman"/>
                <w:sz w:val="18"/>
                <w:szCs w:val="18"/>
              </w:rPr>
              <w:t>Art. 18, VII, d Lei 6.766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VII,</w:t>
            </w:r>
            <w:r>
              <w:rPr>
                <w:rFonts w:cs="Times New Roman"/>
                <w:sz w:val="18"/>
                <w:szCs w:val="18"/>
                <w:lang w:val="en-US"/>
              </w:rPr>
              <w:t xml:space="preserve"> Prov.</w:t>
            </w:r>
            <w:r>
              <w:rPr>
                <w:rFonts w:cs="Times New Roman"/>
                <w:color w:val="00000A"/>
                <w:sz w:val="18"/>
                <w:szCs w:val="18"/>
                <w:lang w:val="en-US"/>
              </w:rPr>
              <w:t>93</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 xml:space="preserve">Loteador </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Planta do loteamento (ver § 1°, artigo 9 lei 6.766/79), (duas (02) plotagens em papel “sulfite”, assinada por responsável técnico, devidamente aprovada pela Prefeitura Municipal)</w:t>
            </w:r>
          </w:p>
        </w:tc>
        <w:tc>
          <w:tcPr>
            <w:tcW w:w="1870" w:type="dxa"/>
            <w:tcBorders/>
            <w:shd w:color="auto" w:fill="auto" w:val="clear"/>
          </w:tcPr>
          <w:p>
            <w:pPr>
              <w:pStyle w:val="NoSpacing"/>
              <w:spacing w:lineRule="auto" w:line="240"/>
              <w:ind w:left="-35" w:right="-78" w:hanging="0"/>
              <w:jc w:val="both"/>
              <w:rPr>
                <w:rFonts w:cs="Times New Roman"/>
                <w:sz w:val="18"/>
                <w:szCs w:val="18"/>
              </w:rPr>
            </w:pPr>
            <w:r>
              <w:rPr>
                <w:rFonts w:cs="Times New Roman"/>
                <w:sz w:val="18"/>
                <w:szCs w:val="18"/>
              </w:rPr>
              <w:t>Art. 9°. Lei 6.766</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 xml:space="preserve">Responsável técnico </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Anotação de Responsabilidade Técnica – ART ou registro de Responsabilidade Técnica – RRT (Devidamente quitada)</w:t>
            </w:r>
          </w:p>
        </w:tc>
        <w:tc>
          <w:tcPr>
            <w:tcW w:w="1870" w:type="dxa"/>
            <w:tcBorders/>
            <w:shd w:color="auto" w:fill="auto" w:val="clear"/>
          </w:tcPr>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8</w:t>
            </w:r>
            <w:r>
              <w:rPr>
                <w:rFonts w:cs="Times New Roman"/>
                <w:sz w:val="18"/>
                <w:szCs w:val="18"/>
              </w:rPr>
              <w:t>95. Prov.</w:t>
            </w:r>
            <w:r>
              <w:rPr>
                <w:rFonts w:cs="Times New Roman"/>
                <w:color w:val="00000A"/>
                <w:sz w:val="18"/>
                <w:szCs w:val="18"/>
              </w:rPr>
              <w:t>93</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Responsável técnico</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Memorial descritivo com indicação das vias, demarcações dos lotes, quadras, logradouros e obras de infraestrutura, devidamente assinado e rubricado por responsável técnico. (cópia em CD ou Pen Drive)</w:t>
            </w:r>
          </w:p>
        </w:tc>
        <w:tc>
          <w:tcPr>
            <w:tcW w:w="1870" w:type="dxa"/>
            <w:tcBorders/>
            <w:shd w:color="auto" w:fill="auto" w:val="clear"/>
          </w:tcPr>
          <w:p>
            <w:pPr>
              <w:pStyle w:val="NoSpacing"/>
              <w:spacing w:lineRule="auto" w:line="240"/>
              <w:ind w:left="-35" w:right="-78" w:hanging="0"/>
              <w:jc w:val="both"/>
              <w:rPr>
                <w:rFonts w:cs="Times New Roman"/>
                <w:sz w:val="18"/>
                <w:szCs w:val="18"/>
              </w:rPr>
            </w:pPr>
            <w:r>
              <w:rPr>
                <w:rFonts w:cs="Times New Roman"/>
                <w:sz w:val="18"/>
                <w:szCs w:val="18"/>
              </w:rPr>
              <w:t>Art. 9°. Lei 6.766</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Responsável técnico</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CD ou Pen Drive com croqui de localização do loteamento para publicação no jornal</w:t>
            </w:r>
            <w:r>
              <w:rPr>
                <w:rStyle w:val="Ncoradanotaderodap"/>
                <w:rFonts w:cs="Times New Roman"/>
              </w:rPr>
              <w:footnoteReference w:id="13"/>
            </w:r>
            <w:r>
              <w:rPr>
                <w:rFonts w:cs="Times New Roman"/>
              </w:rPr>
              <w:t xml:space="preserve"> </w:t>
            </w:r>
          </w:p>
        </w:tc>
        <w:tc>
          <w:tcPr>
            <w:tcW w:w="1870" w:type="dxa"/>
            <w:tcBorders/>
            <w:shd w:color="auto" w:fill="auto" w:val="clear"/>
          </w:tcPr>
          <w:p>
            <w:pPr>
              <w:pStyle w:val="NoSpacing"/>
              <w:spacing w:lineRule="auto" w:line="240"/>
              <w:ind w:left="-35" w:right="-78" w:hanging="0"/>
              <w:jc w:val="both"/>
              <w:rPr>
                <w:rFonts w:cs="Times New Roman"/>
                <w:sz w:val="18"/>
                <w:szCs w:val="18"/>
              </w:rPr>
            </w:pPr>
            <w:r>
              <w:rPr>
                <w:rFonts w:cs="Times New Roman"/>
                <w:sz w:val="18"/>
                <w:szCs w:val="18"/>
              </w:rPr>
              <w:t>Art. 19. Lei 6.766</w:t>
            </w:r>
          </w:p>
          <w:p>
            <w:pPr>
              <w:pStyle w:val="NoSpacing"/>
              <w:spacing w:lineRule="auto" w:line="240"/>
              <w:ind w:left="-35" w:right="-78" w:hanging="0"/>
              <w:jc w:val="both"/>
              <w:rPr/>
            </w:pPr>
            <w:r>
              <w:rPr>
                <w:rFonts w:cs="Times New Roman"/>
                <w:sz w:val="18"/>
                <w:szCs w:val="18"/>
              </w:rPr>
              <w:t xml:space="preserve">Art. </w:t>
            </w:r>
            <w:r>
              <w:rPr>
                <w:rFonts w:cs="Times New Roman"/>
                <w:color w:val="00000A"/>
                <w:sz w:val="18"/>
                <w:szCs w:val="18"/>
              </w:rPr>
              <w:t>1.005</w:t>
            </w:r>
            <w:r>
              <w:rPr>
                <w:rFonts w:cs="Times New Roman"/>
                <w:sz w:val="18"/>
                <w:szCs w:val="18"/>
              </w:rPr>
              <w:t>. Prov.</w:t>
            </w:r>
            <w:r>
              <w:rPr>
                <w:rFonts w:cs="Times New Roman"/>
                <w:color w:val="00000A"/>
                <w:sz w:val="18"/>
                <w:szCs w:val="18"/>
              </w:rPr>
              <w:t>93</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Responsável técnico</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pPr>
            <w:r>
              <w:rPr>
                <w:rFonts w:cs="Times New Roman"/>
              </w:rPr>
              <w:t>Lei municipal de Aprovação do Loteamento, apresentada em 180 (cento e oitenta) dias da data da aprovação, sob pena de caducidade.</w:t>
            </w:r>
          </w:p>
        </w:tc>
        <w:tc>
          <w:tcPr>
            <w:tcW w:w="1870" w:type="dxa"/>
            <w:tcBorders/>
            <w:shd w:color="auto" w:fill="auto" w:val="clear"/>
          </w:tcPr>
          <w:p>
            <w:pPr>
              <w:pStyle w:val="NoSpacing"/>
              <w:spacing w:lineRule="auto" w:line="240"/>
              <w:ind w:left="-35" w:right="-78" w:hanging="0"/>
              <w:jc w:val="both"/>
              <w:rPr>
                <w:rFonts w:cs="Times New Roman"/>
                <w:sz w:val="18"/>
                <w:szCs w:val="18"/>
                <w:lang w:val="en-US"/>
              </w:rPr>
            </w:pPr>
            <w:r>
              <w:rPr>
                <w:rFonts w:cs="Times New Roman"/>
                <w:sz w:val="18"/>
                <w:szCs w:val="18"/>
                <w:lang w:val="en-US"/>
              </w:rPr>
              <w:t xml:space="preserve">Art. 18. Lei 6.766 </w:t>
            </w:r>
          </w:p>
          <w:p>
            <w:pPr>
              <w:pStyle w:val="NoSpacing"/>
              <w:spacing w:lineRule="auto" w:line="240"/>
              <w:ind w:left="-35" w:right="-78" w:hanging="0"/>
              <w:jc w:val="both"/>
              <w:rPr>
                <w:lang w:val="en-US"/>
              </w:rPr>
            </w:pPr>
            <w:r>
              <w:rPr>
                <w:rFonts w:cs="Times New Roman"/>
                <w:sz w:val="18"/>
                <w:szCs w:val="18"/>
                <w:lang w:val="en-US"/>
              </w:rPr>
              <w:t>Art. 2°, d Lei 1.606</w:t>
            </w:r>
          </w:p>
          <w:p>
            <w:pPr>
              <w:pStyle w:val="NoSpacing"/>
              <w:spacing w:lineRule="auto" w:line="240"/>
              <w:ind w:left="-35" w:right="-78" w:hanging="0"/>
              <w:jc w:val="both"/>
              <w:rPr/>
            </w:pPr>
            <w:r>
              <w:rPr>
                <w:rFonts w:cs="Times New Roman"/>
                <w:sz w:val="18"/>
                <w:szCs w:val="18"/>
                <w:lang w:val="en-US"/>
              </w:rPr>
              <w:t>Art.21 a 23 da lei1.606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v</w:t>
            </w:r>
            <w:r>
              <w:rPr>
                <w:rFonts w:cs="Times New Roman"/>
                <w:sz w:val="18"/>
                <w:szCs w:val="18"/>
                <w:lang w:val="en-US"/>
              </w:rPr>
              <w:t xml:space="preserve"> Prov.</w:t>
            </w:r>
            <w:r>
              <w:rPr>
                <w:rFonts w:cs="Times New Roman"/>
                <w:color w:val="00000A"/>
                <w:sz w:val="18"/>
                <w:szCs w:val="18"/>
                <w:lang w:val="en-US"/>
              </w:rPr>
              <w:t>93</w:t>
            </w:r>
            <w:r>
              <w:rPr>
                <w:rFonts w:cs="Times New Roman"/>
                <w:sz w:val="18"/>
                <w:szCs w:val="18"/>
                <w:lang w:val="en-US"/>
              </w:rPr>
              <w:t>.</w:t>
            </w:r>
          </w:p>
        </w:tc>
        <w:tc>
          <w:tcPr>
            <w:tcW w:w="5842" w:type="dxa"/>
            <w:tcBorders/>
            <w:shd w:color="auto" w:fill="auto" w:val="clear"/>
          </w:tcPr>
          <w:p>
            <w:pPr>
              <w:pStyle w:val="NoSpacing"/>
              <w:spacing w:lineRule="auto" w:line="240"/>
              <w:rPr/>
            </w:pPr>
            <w:r>
              <w:rPr>
                <w:color w:val="000000"/>
                <w:sz w:val="20"/>
                <w:szCs w:val="20"/>
              </w:rPr>
              <w:t xml:space="preserve">Câmara Municipal </w:t>
            </w:r>
            <w:r>
              <w:rPr>
                <w:rFonts w:cs="Times New Roman"/>
                <w:color w:val="000000"/>
                <w:sz w:val="20"/>
                <w:szCs w:val="20"/>
              </w:rPr>
              <w:t>(Praça Getúlio Vargas, 18, Centro - S.A.Monte)</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pPr>
            <w:r>
              <w:rPr>
                <w:rFonts w:cs="Times New Roman"/>
              </w:rPr>
              <w:t>Parecer de cumprimento das normas ambientais, áreas verdes, áreas de protestação ambiental, emitido pela Secretaria Municipal de Meio Ambiente.</w:t>
            </w:r>
          </w:p>
        </w:tc>
        <w:tc>
          <w:tcPr>
            <w:tcW w:w="1870" w:type="dxa"/>
            <w:tcBorders/>
            <w:shd w:color="auto" w:fill="auto" w:val="clear"/>
          </w:tcPr>
          <w:p>
            <w:pPr>
              <w:pStyle w:val="NoSpacing"/>
              <w:spacing w:lineRule="auto" w:line="240"/>
              <w:ind w:left="-35" w:right="-78" w:hanging="0"/>
              <w:jc w:val="both"/>
              <w:rPr/>
            </w:pPr>
            <w:r>
              <w:rPr>
                <w:rFonts w:cs="Times New Roman"/>
                <w:sz w:val="18"/>
                <w:szCs w:val="18"/>
                <w:lang w:val="en-US"/>
              </w:rPr>
              <w:t>Art.16 a 18 da lei1.606</w:t>
            </w:r>
          </w:p>
        </w:tc>
        <w:tc>
          <w:tcPr>
            <w:tcW w:w="5842" w:type="dxa"/>
            <w:tcBorders/>
            <w:shd w:color="auto" w:fill="auto" w:val="clear"/>
          </w:tcPr>
          <w:p>
            <w:pPr>
              <w:pStyle w:val="NoSpacing"/>
              <w:spacing w:lineRule="auto" w:line="240"/>
              <w:rPr/>
            </w:pPr>
            <w:r>
              <w:rPr>
                <w:rFonts w:cs="Times New Roman"/>
                <w:sz w:val="20"/>
                <w:szCs w:val="20"/>
              </w:rPr>
              <w:t xml:space="preserve">Rua Francisco Cândido, n° 97 – Sala 05 – 2 Piso – </w:t>
            </w:r>
            <w:r>
              <w:rPr>
                <w:color w:val="181818"/>
                <w:sz w:val="20"/>
                <w:szCs w:val="20"/>
              </w:rPr>
              <w:t>(Prédio da Rodoviária)</w:t>
            </w:r>
            <w:r>
              <w:rPr/>
              <w:t xml:space="preserve"> </w:t>
            </w:r>
            <w:r>
              <w:rPr>
                <w:rFonts w:cs="Times New Roman"/>
                <w:sz w:val="20"/>
                <w:szCs w:val="20"/>
              </w:rPr>
              <w:t xml:space="preserve"> – S.A.Monte </w:t>
            </w:r>
          </w:p>
        </w:tc>
      </w:tr>
      <w:tr>
        <w:trPr/>
        <w:tc>
          <w:tcPr>
            <w:tcW w:w="459" w:type="dxa"/>
            <w:tcBorders>
              <w:top w:val="nil"/>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top w:val="nil"/>
            </w:tcBorders>
            <w:shd w:color="auto" w:fill="auto" w:val="clear"/>
          </w:tcPr>
          <w:p>
            <w:pPr>
              <w:pStyle w:val="NoSpacing"/>
              <w:spacing w:lineRule="auto" w:line="240"/>
              <w:rPr/>
            </w:pPr>
            <w:r>
              <w:rPr>
                <w:rFonts w:cs="Times New Roman"/>
              </w:rPr>
              <w:t xml:space="preserve">Licença Ambiental emitido pelo </w:t>
            </w:r>
            <w:bookmarkStart w:id="6" w:name="__DdeLink__481_16587990"/>
            <w:r>
              <w:rPr>
                <w:rFonts w:cs="Times New Roman"/>
              </w:rPr>
              <w:t>Conselho Municipal de Desenvolvimento Ambiental –</w:t>
            </w:r>
            <w:bookmarkEnd w:id="6"/>
            <w:r>
              <w:rPr>
                <w:rFonts w:cs="Times New Roman"/>
              </w:rPr>
              <w:t xml:space="preserve"> CODEMA</w:t>
            </w:r>
          </w:p>
        </w:tc>
        <w:tc>
          <w:tcPr>
            <w:tcW w:w="1870" w:type="dxa"/>
            <w:tcBorders>
              <w:top w:val="nil"/>
            </w:tcBorders>
            <w:shd w:color="auto" w:fill="auto" w:val="clear"/>
          </w:tcPr>
          <w:p>
            <w:pPr>
              <w:pStyle w:val="NoSpacing"/>
              <w:spacing w:lineRule="auto" w:line="240"/>
              <w:ind w:left="-35" w:right="-78" w:hanging="0"/>
              <w:jc w:val="both"/>
              <w:rPr/>
            </w:pPr>
            <w:r>
              <w:rPr>
                <w:rFonts w:cs="Times New Roman"/>
                <w:sz w:val="18"/>
                <w:szCs w:val="18"/>
                <w:lang w:val="en-US"/>
              </w:rPr>
              <w:t>Art.18 a 20 da lei1.606</w:t>
            </w:r>
          </w:p>
        </w:tc>
        <w:tc>
          <w:tcPr>
            <w:tcW w:w="5842" w:type="dxa"/>
            <w:tcBorders>
              <w:top w:val="nil"/>
            </w:tcBorders>
            <w:shd w:color="auto" w:fill="auto" w:val="clear"/>
          </w:tcPr>
          <w:p>
            <w:pPr>
              <w:pStyle w:val="NoSpacing"/>
              <w:spacing w:lineRule="auto" w:line="240"/>
              <w:rPr>
                <w:rFonts w:cs="Times New Roman"/>
                <w:sz w:val="20"/>
                <w:szCs w:val="20"/>
              </w:rPr>
            </w:pPr>
            <w:r>
              <w:rPr>
                <w:rFonts w:cs="Times New Roman"/>
                <w:sz w:val="20"/>
                <w:szCs w:val="20"/>
              </w:rPr>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pPr>
            <w:r>
              <w:rPr>
                <w:rFonts w:cs="Times New Roman"/>
              </w:rPr>
              <w:t xml:space="preserve">Termo de Verificação de Execução das Obras de Infraestrutura </w:t>
            </w:r>
            <w:r>
              <w:rPr>
                <w:rFonts w:cs="Times New Roman"/>
                <w:b/>
                <w:bCs/>
              </w:rPr>
              <w:t>ou</w:t>
            </w:r>
            <w:r>
              <w:rPr>
                <w:rFonts w:cs="Times New Roman"/>
              </w:rPr>
              <w:t xml:space="preserve"> Cronograma</w:t>
            </w:r>
            <w:r>
              <w:rPr>
                <w:rStyle w:val="Ncoradanotaderodap"/>
                <w:rFonts w:cs="Times New Roman"/>
              </w:rPr>
              <w:footnoteReference w:id="14"/>
            </w:r>
            <w:r>
              <w:rPr>
                <w:rFonts w:cs="Times New Roman"/>
              </w:rPr>
              <w:t xml:space="preserve"> </w:t>
            </w:r>
            <w:r>
              <w:rPr/>
              <w:t xml:space="preserve">Desmembramento substituir por Nota técnica do setor responsável aferindo que desmembramento aproveita do sistema viário existente, e não implique na abertura de novas vias e logradouros públicos, nem no prolongamento, modificação ou ampliação dos já existentes. </w:t>
            </w:r>
          </w:p>
        </w:tc>
        <w:tc>
          <w:tcPr>
            <w:tcW w:w="1870" w:type="dxa"/>
            <w:tcBorders/>
            <w:shd w:color="auto" w:fill="auto" w:val="clear"/>
          </w:tcPr>
          <w:p>
            <w:pPr>
              <w:pStyle w:val="NoSpacing"/>
              <w:spacing w:lineRule="auto" w:line="240"/>
              <w:ind w:left="-35" w:right="-78" w:hanging="0"/>
              <w:jc w:val="both"/>
              <w:rPr>
                <w:rFonts w:cs="Times New Roman"/>
                <w:sz w:val="18"/>
                <w:szCs w:val="18"/>
                <w:lang w:val="en-US"/>
              </w:rPr>
            </w:pPr>
            <w:r>
              <w:rPr>
                <w:rFonts w:cs="Times New Roman"/>
                <w:sz w:val="18"/>
                <w:szCs w:val="18"/>
                <w:lang w:val="en-US"/>
              </w:rPr>
              <w:t>Art. 18, V, Lei 6.766</w:t>
            </w:r>
          </w:p>
          <w:p>
            <w:pPr>
              <w:pStyle w:val="NoSpacing"/>
              <w:spacing w:lineRule="auto" w:line="240"/>
              <w:ind w:left="-35" w:right="-78" w:hanging="0"/>
              <w:jc w:val="both"/>
              <w:rPr>
                <w:rFonts w:cs="Times New Roman"/>
                <w:sz w:val="18"/>
                <w:szCs w:val="18"/>
                <w:lang w:val="en-US"/>
              </w:rPr>
            </w:pPr>
            <w:r>
              <w:rPr>
                <w:rFonts w:cs="Times New Roman"/>
                <w:sz w:val="18"/>
                <w:szCs w:val="18"/>
                <w:lang w:val="en-US"/>
              </w:rPr>
              <w:t>Art. 2 §2°, Lei 6.766</w:t>
            </w:r>
          </w:p>
          <w:p>
            <w:pPr>
              <w:pStyle w:val="NoSpacing"/>
              <w:spacing w:lineRule="auto" w:line="240"/>
              <w:ind w:left="-35" w:right="-78" w:hanging="0"/>
              <w:jc w:val="both"/>
              <w:rPr/>
            </w:pPr>
            <w:r>
              <w:rPr>
                <w:rFonts w:cs="Times New Roman"/>
                <w:sz w:val="18"/>
                <w:szCs w:val="18"/>
              </w:rPr>
              <w:t>Art. 1° §1°, Lei 1.606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996, v</w:t>
            </w:r>
            <w:r>
              <w:rPr>
                <w:rFonts w:cs="Times New Roman"/>
                <w:sz w:val="18"/>
                <w:szCs w:val="18"/>
                <w:lang w:val="en-US"/>
              </w:rPr>
              <w:t xml:space="preserve"> Prov.</w:t>
            </w:r>
            <w:r>
              <w:rPr>
                <w:rFonts w:cs="Times New Roman"/>
                <w:color w:val="00000A"/>
                <w:sz w:val="18"/>
                <w:szCs w:val="18"/>
                <w:lang w:val="en-US"/>
              </w:rPr>
              <w:t>93</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Prefeitura Municipal (Praça Getúlio Vargas, 18, Centro - S.A.Monte)</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pPr>
            <w:r>
              <w:rPr>
                <w:rFonts w:cs="Times New Roman"/>
              </w:rPr>
              <w:t>Termo de Caução/Instrumento de Garantia de Execução das Obras, nos termos do Art. 25 da lei 1.606//2000.</w:t>
            </w:r>
          </w:p>
        </w:tc>
        <w:tc>
          <w:tcPr>
            <w:tcW w:w="1870" w:type="dxa"/>
            <w:tcBorders/>
            <w:shd w:color="auto" w:fill="auto" w:val="clear"/>
          </w:tcPr>
          <w:p>
            <w:pPr>
              <w:pStyle w:val="NoSpacing"/>
              <w:spacing w:lineRule="auto" w:line="240"/>
              <w:ind w:left="-35" w:right="-78" w:hanging="0"/>
              <w:jc w:val="both"/>
              <w:rPr/>
            </w:pPr>
            <w:r>
              <w:rPr>
                <w:rFonts w:cs="Times New Roman"/>
                <w:sz w:val="18"/>
                <w:szCs w:val="18"/>
              </w:rPr>
              <w:t>Art. 18, V, Lei 6.766</w:t>
            </w:r>
          </w:p>
          <w:p>
            <w:pPr>
              <w:pStyle w:val="NoSpacing"/>
              <w:spacing w:lineRule="auto" w:line="240"/>
              <w:ind w:left="-35" w:right="-78" w:hanging="0"/>
              <w:jc w:val="both"/>
              <w:rPr/>
            </w:pPr>
            <w:r>
              <w:rPr>
                <w:rFonts w:cs="Times New Roman"/>
                <w:sz w:val="18"/>
                <w:szCs w:val="18"/>
              </w:rPr>
              <w:t>Art. 24 a 33, Lei 1.606</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1.004,</w:t>
            </w:r>
            <w:r>
              <w:rPr>
                <w:rFonts w:cs="Times New Roman"/>
                <w:sz w:val="18"/>
                <w:szCs w:val="18"/>
                <w:lang w:val="en-US"/>
              </w:rPr>
              <w:t xml:space="preserve"> Prov.</w:t>
            </w:r>
            <w:r>
              <w:rPr>
                <w:rFonts w:cs="Times New Roman"/>
                <w:color w:val="00000A"/>
                <w:sz w:val="18"/>
                <w:szCs w:val="18"/>
                <w:lang w:val="en-US"/>
              </w:rPr>
              <w:t>93</w:t>
            </w:r>
          </w:p>
        </w:tc>
        <w:tc>
          <w:tcPr>
            <w:tcW w:w="5842" w:type="dxa"/>
            <w:tcBorders/>
            <w:shd w:color="auto" w:fill="auto" w:val="clear"/>
          </w:tcPr>
          <w:p>
            <w:pPr>
              <w:pStyle w:val="NoSpacing"/>
              <w:spacing w:lineRule="auto" w:line="240"/>
              <w:rPr>
                <w:rFonts w:cs="Times New Roman"/>
                <w:sz w:val="20"/>
                <w:szCs w:val="20"/>
              </w:rPr>
            </w:pPr>
            <w:r>
              <w:rPr>
                <w:rFonts w:cs="Times New Roman"/>
                <w:sz w:val="20"/>
                <w:szCs w:val="20"/>
              </w:rPr>
              <w:t>Prefeitura Municipal (Praça Getúlio Vargas, 18, Centro - S.A.Monte)</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pPr>
            <w:r>
              <w:rPr/>
              <w:t>Declaração de que o loteamento ou desmembramento, respeitará uma distância mínima de 50 (cinquenta) metros das linhas limítrofes das Indústrias de Fogos de Artifício.</w:t>
            </w:r>
          </w:p>
        </w:tc>
        <w:tc>
          <w:tcPr>
            <w:tcW w:w="1870" w:type="dxa"/>
            <w:tcBorders/>
            <w:shd w:color="auto" w:fill="auto" w:val="clear"/>
          </w:tcPr>
          <w:p>
            <w:pPr>
              <w:pStyle w:val="NoSpacing"/>
              <w:spacing w:lineRule="auto" w:line="240"/>
              <w:ind w:left="-35" w:right="-78" w:hanging="0"/>
              <w:rPr/>
            </w:pPr>
            <w:r>
              <w:rPr>
                <w:rFonts w:cs="Times New Roman"/>
                <w:sz w:val="18"/>
                <w:szCs w:val="18"/>
              </w:rPr>
              <w:t>Art. 1° da Lei 1.569</w:t>
            </w:r>
          </w:p>
        </w:tc>
        <w:tc>
          <w:tcPr>
            <w:tcW w:w="5842" w:type="dxa"/>
            <w:tcBorders/>
            <w:shd w:color="auto" w:fill="auto" w:val="clear"/>
          </w:tcPr>
          <w:p>
            <w:pPr>
              <w:pStyle w:val="NoSpacing"/>
              <w:spacing w:lineRule="auto" w:line="240"/>
              <w:rPr/>
            </w:pPr>
            <w:r>
              <w:rPr>
                <w:rFonts w:cs="Times New Roman"/>
                <w:sz w:val="20"/>
                <w:szCs w:val="20"/>
              </w:rPr>
              <w:t xml:space="preserve">Loteador </w:t>
            </w:r>
          </w:p>
        </w:tc>
      </w:tr>
      <w:tr>
        <w:trPr/>
        <w:tc>
          <w:tcPr>
            <w:tcW w:w="459" w:type="dxa"/>
            <w:tcBorders>
              <w:top w:val="nil"/>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top w:val="nil"/>
            </w:tcBorders>
            <w:shd w:color="auto" w:fill="auto" w:val="clear"/>
          </w:tcPr>
          <w:p>
            <w:pPr>
              <w:pStyle w:val="NoSpacing"/>
              <w:spacing w:lineRule="auto" w:line="240"/>
              <w:rPr/>
            </w:pPr>
            <w:r>
              <w:rPr>
                <w:rFonts w:cs="Times New Roman"/>
              </w:rPr>
              <w:t>C</w:t>
            </w:r>
            <w:r>
              <w:rPr>
                <w:rFonts w:cs="Times New Roman"/>
              </w:rPr>
              <w:t xml:space="preserve">ertidão do órgão municipal competente que ateste a inclusão do imóvel em zona urbana, de expansão urbana ou de urbanização específica </w:t>
            </w:r>
          </w:p>
        </w:tc>
        <w:tc>
          <w:tcPr>
            <w:tcW w:w="1870" w:type="dxa"/>
            <w:tcBorders>
              <w:top w:val="nil"/>
            </w:tcBorders>
            <w:shd w:color="auto" w:fill="auto" w:val="clear"/>
          </w:tcPr>
          <w:p>
            <w:pPr>
              <w:pStyle w:val="NoSpacing"/>
              <w:spacing w:lineRule="auto" w:line="240"/>
              <w:ind w:left="-35" w:right="-78" w:hanging="0"/>
              <w:jc w:val="both"/>
              <w:rPr/>
            </w:pPr>
            <w:r>
              <w:rPr>
                <w:rFonts w:cs="Times New Roman"/>
                <w:sz w:val="18"/>
                <w:szCs w:val="18"/>
              </w:rPr>
              <w:t xml:space="preserve">Art. 53. </w:t>
            </w:r>
            <w:r>
              <w:rPr>
                <w:rFonts w:cs="Times New Roman"/>
                <w:sz w:val="18"/>
                <w:szCs w:val="18"/>
                <w:lang w:val="en-US"/>
              </w:rPr>
              <w:t xml:space="preserve">Lei 6.766 </w:t>
            </w:r>
          </w:p>
          <w:p>
            <w:pPr>
              <w:pStyle w:val="NoSpacing"/>
              <w:spacing w:lineRule="auto" w:line="240"/>
              <w:ind w:left="-35" w:right="-78" w:hanging="0"/>
              <w:jc w:val="both"/>
              <w:rPr/>
            </w:pPr>
            <w:r>
              <w:rPr>
                <w:rFonts w:cs="Times New Roman"/>
                <w:sz w:val="18"/>
                <w:szCs w:val="18"/>
                <w:lang w:val="en-US"/>
              </w:rPr>
              <w:t xml:space="preserve">Art. </w:t>
            </w:r>
            <w:r>
              <w:rPr>
                <w:rFonts w:eastAsia="Calibri" w:cs="Times New Roman"/>
                <w:color w:val="00000A"/>
                <w:kern w:val="0"/>
                <w:sz w:val="18"/>
                <w:szCs w:val="18"/>
                <w:lang w:val="en-US" w:eastAsia="en-US" w:bidi="ar-SA"/>
              </w:rPr>
              <w:t>982</w:t>
            </w:r>
            <w:r>
              <w:rPr>
                <w:rFonts w:cs="Times New Roman"/>
                <w:sz w:val="18"/>
                <w:szCs w:val="18"/>
                <w:lang w:val="en-US"/>
              </w:rPr>
              <w:t>. Prov.</w:t>
            </w:r>
            <w:r>
              <w:rPr>
                <w:rFonts w:cs="Times New Roman"/>
                <w:color w:val="00000A"/>
                <w:sz w:val="18"/>
                <w:szCs w:val="18"/>
                <w:lang w:val="en-US"/>
              </w:rPr>
              <w:t>93/</w:t>
            </w:r>
            <w:r>
              <w:rPr>
                <w:rFonts w:cs="Times New Roman"/>
                <w:color w:val="00000A"/>
                <w:sz w:val="18"/>
                <w:szCs w:val="18"/>
                <w:lang w:val="en-US"/>
              </w:rPr>
              <w:t>2020</w:t>
            </w:r>
          </w:p>
        </w:tc>
        <w:tc>
          <w:tcPr>
            <w:tcW w:w="5842" w:type="dxa"/>
            <w:tcBorders>
              <w:top w:val="nil"/>
            </w:tcBorders>
            <w:shd w:color="auto" w:fill="auto" w:val="clear"/>
          </w:tcPr>
          <w:p>
            <w:pPr>
              <w:pStyle w:val="NoSpacing"/>
              <w:spacing w:lineRule="auto" w:line="240"/>
              <w:rPr/>
            </w:pPr>
            <w:r>
              <w:rPr>
                <w:rFonts w:cs="Times New Roman"/>
                <w:sz w:val="20"/>
                <w:szCs w:val="20"/>
              </w:rPr>
              <w:t>Prefeitura Municipal (Praça Getúlio Vargas, 18, Centro - S.A.Monte)</w:t>
            </w:r>
          </w:p>
        </w:tc>
      </w:tr>
      <w:tr>
        <w:trPr/>
        <w:tc>
          <w:tcPr>
            <w:tcW w:w="459" w:type="dxa"/>
            <w:tcBorders/>
            <w:shd w:color="auto" w:fill="auto" w:val="clear"/>
          </w:tcPr>
          <w:p>
            <w:pPr>
              <w:pStyle w:val="NoSpacing"/>
              <w:numPr>
                <w:ilvl w:val="0"/>
                <w:numId w:val="1"/>
              </w:numPr>
              <w:spacing w:lineRule="auto" w:line="240"/>
              <w:jc w:val="center"/>
              <w:rPr>
                <w:rFonts w:cs="Times New Roman"/>
              </w:rPr>
            </w:pPr>
            <w:r>
              <w:rPr>
                <w:rFonts w:cs="Times New Roman"/>
              </w:rPr>
            </w:r>
          </w:p>
        </w:tc>
        <w:tc>
          <w:tcPr>
            <w:tcW w:w="7441" w:type="dxa"/>
            <w:tcBorders/>
            <w:shd w:color="auto" w:fill="auto" w:val="clear"/>
          </w:tcPr>
          <w:p>
            <w:pPr>
              <w:pStyle w:val="NoSpacing"/>
              <w:spacing w:lineRule="auto" w:line="240"/>
              <w:rPr>
                <w:rFonts w:cs="Times New Roman"/>
              </w:rPr>
            </w:pPr>
            <w:r>
              <w:rPr>
                <w:rFonts w:cs="Times New Roman"/>
              </w:rPr>
              <w:t>Inscrição Municipal dos lotes</w:t>
            </w:r>
          </w:p>
        </w:tc>
        <w:tc>
          <w:tcPr>
            <w:tcW w:w="1870" w:type="dxa"/>
            <w:tcBorders/>
            <w:shd w:color="auto" w:fill="auto" w:val="clear"/>
          </w:tcPr>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715</w:t>
            </w:r>
            <w:r>
              <w:rPr>
                <w:rFonts w:cs="Times New Roman"/>
                <w:sz w:val="18"/>
                <w:szCs w:val="18"/>
                <w:lang w:val="en-US"/>
              </w:rPr>
              <w:t>, IV.  Prov.</w:t>
            </w:r>
            <w:r>
              <w:rPr>
                <w:rFonts w:cs="Times New Roman"/>
                <w:color w:val="00000A"/>
                <w:sz w:val="18"/>
                <w:szCs w:val="18"/>
                <w:lang w:val="en-US"/>
              </w:rPr>
              <w:t>93</w:t>
            </w:r>
          </w:p>
          <w:p>
            <w:pPr>
              <w:pStyle w:val="NoSpacing"/>
              <w:spacing w:lineRule="auto" w:line="240"/>
              <w:ind w:left="-35" w:right="-78" w:hanging="0"/>
              <w:jc w:val="both"/>
              <w:rPr/>
            </w:pPr>
            <w:r>
              <w:rPr>
                <w:rFonts w:cs="Times New Roman"/>
                <w:sz w:val="18"/>
                <w:szCs w:val="18"/>
                <w:lang w:val="en-US"/>
              </w:rPr>
              <w:t xml:space="preserve">Art. </w:t>
            </w:r>
            <w:r>
              <w:rPr>
                <w:rFonts w:cs="Times New Roman"/>
                <w:color w:val="00000A"/>
                <w:sz w:val="18"/>
                <w:szCs w:val="18"/>
                <w:lang w:val="en-US"/>
              </w:rPr>
              <w:t>787</w:t>
            </w:r>
            <w:r>
              <w:rPr>
                <w:rFonts w:cs="Times New Roman"/>
                <w:sz w:val="18"/>
                <w:szCs w:val="18"/>
                <w:lang w:val="en-US"/>
              </w:rPr>
              <w:t xml:space="preserve">, </w:t>
            </w:r>
            <w:r>
              <w:rPr>
                <w:rFonts w:cs="Times New Roman"/>
                <w:color w:val="00000A"/>
                <w:sz w:val="18"/>
                <w:szCs w:val="18"/>
                <w:lang w:val="en-US"/>
              </w:rPr>
              <w:t>III</w:t>
            </w:r>
            <w:r>
              <w:rPr>
                <w:rFonts w:cs="Times New Roman"/>
                <w:sz w:val="18"/>
                <w:szCs w:val="18"/>
                <w:lang w:val="en-US"/>
              </w:rPr>
              <w:t xml:space="preserve">.  </w:t>
            </w:r>
            <w:r>
              <w:rPr>
                <w:rFonts w:cs="Times New Roman"/>
                <w:sz w:val="18"/>
                <w:szCs w:val="18"/>
              </w:rPr>
              <w:t>Prov.</w:t>
            </w:r>
            <w:r>
              <w:rPr>
                <w:rFonts w:cs="Times New Roman"/>
                <w:color w:val="00000A"/>
                <w:sz w:val="18"/>
                <w:szCs w:val="18"/>
              </w:rPr>
              <w:t>93</w:t>
            </w:r>
          </w:p>
        </w:tc>
        <w:tc>
          <w:tcPr>
            <w:tcW w:w="5842" w:type="dxa"/>
            <w:tcBorders/>
            <w:shd w:color="auto" w:fill="auto" w:val="clear"/>
          </w:tcPr>
          <w:p>
            <w:pPr>
              <w:pStyle w:val="NoSpacing"/>
              <w:spacing w:lineRule="auto" w:line="240"/>
              <w:rPr>
                <w:rFonts w:cs="Times New Roman"/>
                <w:sz w:val="20"/>
                <w:szCs w:val="20"/>
              </w:rPr>
            </w:pPr>
            <w:bookmarkStart w:id="7" w:name="__DdeLink__723_2095123054"/>
            <w:r>
              <w:rPr>
                <w:rFonts w:cs="Times New Roman"/>
                <w:sz w:val="20"/>
                <w:szCs w:val="20"/>
              </w:rPr>
              <w:t>Prefeitura Municipal (Praça Getúlio Vargas, 18, Centro - S.A.Monte)</w:t>
            </w:r>
            <w:bookmarkEnd w:id="7"/>
          </w:p>
        </w:tc>
      </w:tr>
    </w:tbl>
    <w:p>
      <w:pPr>
        <w:pStyle w:val="NoSpacing"/>
        <w:rPr>
          <w:rFonts w:cs="Calibri" w:cstheme="minorHAnsi"/>
          <w:sz w:val="24"/>
          <w:szCs w:val="24"/>
        </w:rPr>
      </w:pPr>
      <w:r>
        <w:rPr>
          <w:rFonts w:cs="Calibri" w:cstheme="minorHAnsi"/>
          <w:sz w:val="24"/>
          <w:szCs w:val="24"/>
        </w:rPr>
      </w:r>
    </w:p>
    <w:p>
      <w:pPr>
        <w:pStyle w:val="NoSpacing"/>
        <w:rPr>
          <w:rFonts w:ascii="Calibri" w:hAnsi="Calibri" w:cs="Times New Roman"/>
          <w:bCs/>
          <w:sz w:val="24"/>
          <w:szCs w:val="24"/>
        </w:rPr>
      </w:pPr>
      <w:r>
        <w:rPr>
          <w:rFonts w:cs="Times New Roman"/>
          <w:b/>
          <w:sz w:val="24"/>
          <w:szCs w:val="24"/>
        </w:rPr>
        <w:t xml:space="preserve">Atenção: </w:t>
      </w:r>
      <w:r>
        <w:rPr>
          <w:rFonts w:cs="Times New Roman"/>
          <w:bCs/>
          <w:sz w:val="24"/>
          <w:szCs w:val="24"/>
        </w:rPr>
        <w:t xml:space="preserve">Essa planilha não esgota todas as exigências que podem surgir no caso concreto, nem versa sobre todas as hipóteses de empreendimentos. </w:t>
      </w:r>
    </w:p>
    <w:p>
      <w:pPr>
        <w:pStyle w:val="NoSpacing"/>
        <w:jc w:val="both"/>
        <w:rPr>
          <w:rFonts w:cs="Calibri" w:cstheme="minorHAnsi"/>
          <w:b/>
          <w:b/>
          <w:sz w:val="24"/>
          <w:szCs w:val="24"/>
        </w:rPr>
      </w:pPr>
      <w:r>
        <w:rPr>
          <w:rFonts w:cs="Calibri" w:cstheme="minorHAnsi"/>
          <w:b/>
          <w:sz w:val="24"/>
          <w:szCs w:val="24"/>
        </w:rPr>
      </w:r>
    </w:p>
    <w:p>
      <w:pPr>
        <w:pStyle w:val="NoSpacing"/>
        <w:rPr>
          <w:rFonts w:cs="Times New Roman"/>
          <w:sz w:val="24"/>
          <w:szCs w:val="24"/>
        </w:rPr>
      </w:pPr>
      <w:r>
        <w:rPr>
          <w:rFonts w:cs="Times New Roman"/>
          <w:b/>
          <w:sz w:val="24"/>
          <w:szCs w:val="24"/>
        </w:rPr>
        <w:t>Observação 1</w:t>
      </w:r>
      <w:r>
        <w:rPr>
          <w:rFonts w:cs="Times New Roman"/>
          <w:sz w:val="24"/>
          <w:szCs w:val="24"/>
        </w:rPr>
        <w:t>: Na hipótese de o imóvel objeto do parcelamento não se encontrar matriculado no registro geral, o proprietário deverá providenciar abertura de matrícula em seu nome, devendo esta descrever o imóvel com todas as características e confrontações anteriores ao parcelamento e, na matrícula aberta, o oficial de registro efetuará o registro do loteamento ou a averbação do desmembramento.</w:t>
      </w:r>
    </w:p>
    <w:p>
      <w:pPr>
        <w:pStyle w:val="NoSpacing"/>
        <w:rPr>
          <w:rFonts w:cs="Times New Roman"/>
          <w:sz w:val="24"/>
          <w:szCs w:val="24"/>
        </w:rPr>
      </w:pPr>
      <w:r>
        <w:rPr>
          <w:rFonts w:cs="Times New Roman"/>
          <w:b/>
          <w:sz w:val="24"/>
          <w:szCs w:val="24"/>
        </w:rPr>
        <w:t>Observação 2</w:t>
      </w:r>
      <w:r>
        <w:rPr>
          <w:rFonts w:cs="Times New Roman"/>
          <w:sz w:val="24"/>
          <w:szCs w:val="24"/>
        </w:rPr>
        <w:t>: Os documentos apresentados para registro do loteamento deverão vir, sempre que possível, no original, podendo ser aceitas vias autenticadas, Se o oficial de registro suspeitar da autenticidade de quaisquer das cópias apresentadas, poderá exigir a exibição do original.</w:t>
      </w:r>
    </w:p>
    <w:p>
      <w:pPr>
        <w:pStyle w:val="NoSpacing"/>
        <w:rPr>
          <w:rFonts w:cs="Times New Roman"/>
          <w:sz w:val="24"/>
          <w:szCs w:val="24"/>
        </w:rPr>
      </w:pPr>
      <w:r>
        <w:rPr>
          <w:rFonts w:cs="Times New Roman"/>
          <w:b/>
          <w:sz w:val="24"/>
          <w:szCs w:val="24"/>
        </w:rPr>
        <w:t>Observação 3</w:t>
      </w:r>
      <w:r>
        <w:rPr>
          <w:rFonts w:cs="Times New Roman"/>
          <w:sz w:val="24"/>
          <w:szCs w:val="24"/>
        </w:rPr>
        <w:t>: Os loteamentos ou desmembramentos requeridos pelas entidades político-administrativas (União, Estados e Municípios) estão sujeitos ao processo do registro especial, dispensando-se, porém, os documentos mencionados nos incisos II, III, IV e VII do art. 18 da Lei nº 6.766/1979.</w:t>
      </w:r>
    </w:p>
    <w:p>
      <w:pPr>
        <w:pStyle w:val="NoSpacing"/>
        <w:rPr/>
      </w:pPr>
      <w:r>
        <w:rPr/>
      </w:r>
    </w:p>
    <w:sectPr>
      <w:footerReference w:type="default" r:id="rId14"/>
      <w:footnotePr>
        <w:numFmt w:val="decimal"/>
      </w:footnotePr>
      <w:type w:val="nextPage"/>
      <w:pgSz w:orient="landscape" w:w="16838" w:h="11906"/>
      <w:pgMar w:left="720" w:right="720" w:header="0" w:top="720" w:footer="720" w:bottom="127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pacing w:lineRule="auto" w:line="240" w:before="0" w:after="0"/>
        <w:rPr/>
      </w:pPr>
      <w:r>
        <w:rPr>
          <w:rStyle w:val="Caracteresdenotaderodap"/>
        </w:rPr>
        <w:footnoteRef/>
      </w:r>
      <w:r>
        <w:rPr>
          <w:rStyle w:val="FootnoteCharacters"/>
          <w:sz w:val="20"/>
          <w:szCs w:val="20"/>
        </w:rPr>
        <w:tab/>
      </w:r>
      <w:r>
        <w:rPr>
          <w:sz w:val="20"/>
          <w:szCs w:val="20"/>
        </w:rPr>
        <w:t xml:space="preserve"> Quando o loteador for pessoa jurídica, incumbirá ao oficial verificar, com base no estatuto social, a regularidade da representação societária, especialmente se a pessoa que está requerendo o registro tem poderes para tanto. Há necessidade de poderes especiais, não bastando os denominados “poderes para administração em geral”.</w:t>
      </w:r>
    </w:p>
  </w:footnote>
  <w:footnote w:id="3">
    <w:p>
      <w:pPr>
        <w:pStyle w:val="Notaderodap"/>
        <w:spacing w:before="0" w:after="200"/>
        <w:rPr/>
      </w:pPr>
      <w:r>
        <w:rPr>
          <w:rStyle w:val="Caracteresdenotaderodap"/>
        </w:rPr>
        <w:footnoteRef/>
      </w:r>
      <w:r>
        <w:rPr/>
        <w:tab/>
      </w:r>
      <w:r>
        <w:rPr>
          <w:color w:val="00000A"/>
          <w:sz w:val="20"/>
          <w:szCs w:val="20"/>
        </w:rPr>
        <w:t>R</w:t>
      </w:r>
      <w:r>
        <w:rPr>
          <w:sz w:val="20"/>
          <w:szCs w:val="20"/>
        </w:rPr>
        <w:t xml:space="preserve">essalvada a dispensa de certidão de inteiro teor na hipótese de parcelamento popular, destinado às classes de menor renda, em imóvel declarado de utilidade pública, com processo de desapropriação judicial em curso e imissão provisória na posse, desde que promovido pela União, pelos Estados, Distrito Federal, Municípios ou suas entidades delegadas, autorizadas por lei a implantar projetos de habitação; </w:t>
      </w:r>
    </w:p>
  </w:footnote>
  <w:footnote w:id="4">
    <w:p>
      <w:pPr>
        <w:pStyle w:val="Notaderodap"/>
        <w:spacing w:lineRule="auto" w:line="240" w:before="0" w:after="0"/>
        <w:rPr/>
      </w:pPr>
      <w:r>
        <w:rPr>
          <w:rStyle w:val="Caracteresdenotaderodap"/>
        </w:rPr>
        <w:footnoteRef/>
      </w:r>
      <w:r>
        <w:rPr>
          <w:rStyle w:val="FootnoteCharacters"/>
          <w:sz w:val="20"/>
          <w:szCs w:val="20"/>
        </w:rPr>
        <w:tab/>
      </w:r>
      <w:r>
        <w:rPr>
          <w:sz w:val="20"/>
          <w:szCs w:val="20"/>
        </w:rPr>
        <w:t xml:space="preserve"> O histórico, exigido para o parcelamento e para a incorporação, não é a mera reprodução das certidões, mas um resumo ordenado da titularidade do bem. Esclarecerá, por exemplo, sobre as ações reais propostas e os respectivos documentos que mostrem seu resultado. </w:t>
      </w:r>
    </w:p>
  </w:footnote>
  <w:footnote w:id="5">
    <w:p>
      <w:pPr>
        <w:pStyle w:val="Notaderodap"/>
        <w:spacing w:lineRule="auto" w:line="240" w:before="0" w:after="0"/>
        <w:rPr/>
      </w:pPr>
      <w:r>
        <w:rPr>
          <w:rStyle w:val="Caracteresdenotaderodap"/>
        </w:rPr>
        <w:footnoteRef/>
      </w:r>
      <w:r>
        <w:rPr>
          <w:rStyle w:val="FootnoteCharacters"/>
          <w:sz w:val="20"/>
          <w:szCs w:val="20"/>
        </w:rPr>
        <w:tab/>
      </w:r>
      <w:r>
        <w:rPr>
          <w:sz w:val="20"/>
          <w:szCs w:val="20"/>
        </w:rPr>
        <w:t xml:space="preserve"> O decênio, tomará por base a data do pedido de registro do loteamento, devendo </w:t>
      </w:r>
      <w:r>
        <w:rPr>
          <w:b/>
          <w:sz w:val="20"/>
          <w:szCs w:val="20"/>
        </w:rPr>
        <w:t>todas as certidões</w:t>
      </w:r>
      <w:r>
        <w:rPr>
          <w:sz w:val="20"/>
          <w:szCs w:val="20"/>
        </w:rPr>
        <w:t xml:space="preserve"> serem extraídas em nome daqueles que, nos período de 10 (dez) anos, tenham sido titulares de direitos reais sobre o imóvel, devendo as certidões serem emitidas pela comarca da situação do imóvel e, se distintas, naquelas onde domiciliados o loteador e os antecessores.</w:t>
      </w:r>
    </w:p>
  </w:footnote>
  <w:footnote w:id="6">
    <w:p>
      <w:pPr>
        <w:pStyle w:val="Notaderodap"/>
        <w:spacing w:lineRule="auto" w:line="240" w:before="0" w:after="0"/>
        <w:rPr/>
      </w:pPr>
      <w:r>
        <w:rPr>
          <w:rStyle w:val="Caracteresdenotaderodap"/>
        </w:rPr>
        <w:footnoteRef/>
      </w:r>
      <w:r>
        <w:rPr>
          <w:rStyle w:val="FootnoteCharacters"/>
          <w:sz w:val="20"/>
          <w:szCs w:val="20"/>
        </w:rPr>
        <w:tab/>
      </w:r>
      <w:r>
        <w:rPr>
          <w:sz w:val="20"/>
          <w:szCs w:val="20"/>
        </w:rPr>
        <w:t xml:space="preserve"> Quando o loteador e os titulares de direitos reais sobre o imóvel forem pessoas naturais casadas, as certidões deverão se referir a ambos os cônjuges.</w:t>
      </w:r>
    </w:p>
  </w:footnote>
  <w:footnote w:id="7">
    <w:p>
      <w:pPr>
        <w:pStyle w:val="Notaderodap"/>
        <w:spacing w:lineRule="auto" w:line="240" w:before="0" w:after="0"/>
        <w:rPr/>
      </w:pPr>
      <w:r>
        <w:rPr>
          <w:rStyle w:val="Caracteresdenotaderodap"/>
        </w:rPr>
        <w:footnoteRef/>
      </w:r>
      <w:r>
        <w:rPr>
          <w:rStyle w:val="FootnoteCharacters"/>
          <w:sz w:val="20"/>
          <w:szCs w:val="20"/>
        </w:rPr>
        <w:tab/>
      </w:r>
      <w:r>
        <w:rPr>
          <w:sz w:val="20"/>
          <w:szCs w:val="20"/>
        </w:rPr>
        <w:t xml:space="preserve"> Tratando-se de pessoa jurídica, as certidões dos distribuidores criminais deverão referir-se, além da loteadora, também aos respectivos representantes legais.</w:t>
      </w:r>
    </w:p>
  </w:footnote>
  <w:footnote w:id="8">
    <w:p>
      <w:pPr>
        <w:pStyle w:val="Notaderodap"/>
        <w:spacing w:lineRule="auto" w:line="240" w:before="0" w:after="0"/>
        <w:rPr/>
      </w:pPr>
      <w:r>
        <w:rPr>
          <w:rStyle w:val="Caracteresdenotaderodap"/>
        </w:rPr>
        <w:footnoteRef/>
      </w:r>
      <w:r>
        <w:rPr>
          <w:rStyle w:val="FootnoteCharacters"/>
          <w:sz w:val="20"/>
          <w:szCs w:val="20"/>
        </w:rPr>
        <w:tab/>
      </w:r>
      <w:r>
        <w:rPr>
          <w:sz w:val="20"/>
          <w:szCs w:val="20"/>
        </w:rPr>
        <w:t xml:space="preserve"> Sempre que das certidões de feitos ajuizados envolvendo ações pessoais e reais constar a distribuição positiva, deverá ser exigida certidão complementar, expedida pelo escrivão do feito, sobre seu desfecho ou estado atual. Tal complementação será desnecessária quando se trate de ação que, pela sua própria natureza, desde logo aferida pela certidão do distribuidor judicial, não tenha qualquer repercussão econômica ou relação com o imóvel objeto do loteamento.</w:t>
      </w:r>
    </w:p>
  </w:footnote>
  <w:footnote w:id="9">
    <w:p>
      <w:pPr>
        <w:pStyle w:val="Notaderodap"/>
        <w:spacing w:lineRule="auto" w:line="240" w:before="0" w:after="0"/>
        <w:rPr/>
      </w:pPr>
      <w:r>
        <w:rPr>
          <w:rStyle w:val="Caracteresdenotaderodap"/>
        </w:rPr>
        <w:footnoteRef/>
      </w:r>
      <w:r>
        <w:rPr>
          <w:rStyle w:val="FootnoteCharacters"/>
          <w:sz w:val="20"/>
          <w:szCs w:val="20"/>
        </w:rPr>
        <w:tab/>
      </w:r>
      <w:r>
        <w:rPr>
          <w:sz w:val="20"/>
          <w:szCs w:val="20"/>
        </w:rPr>
        <w:t xml:space="preserve"> A certidão positiva não impedirá o registro do loteamento se o requerente comprovar que essas ações/ protestos não poderão prejudicar os adquirentes dos lotes. Se o Oficial do Registro de Imóveis julgar insuficiente a comprovação feita, suscitará a dúvida perante o juiz competente.</w:t>
      </w:r>
    </w:p>
  </w:footnote>
  <w:footnote w:id="10">
    <w:p>
      <w:pPr>
        <w:pStyle w:val="Notaderodap"/>
        <w:spacing w:lineRule="auto" w:line="240" w:before="0" w:after="0"/>
        <w:rPr/>
      </w:pPr>
      <w:r>
        <w:rPr>
          <w:rStyle w:val="Caracteresdenotaderodap"/>
        </w:rPr>
        <w:footnoteRef/>
      </w:r>
      <w:r>
        <w:rPr>
          <w:rStyle w:val="FootnoteCharacters"/>
          <w:sz w:val="20"/>
          <w:szCs w:val="20"/>
        </w:rPr>
        <w:tab/>
      </w:r>
      <w:r>
        <w:rPr>
          <w:sz w:val="20"/>
          <w:szCs w:val="20"/>
        </w:rPr>
        <w:t xml:space="preserve"> Sempre que das certidões de feitos ajuizados envolvendo ações pessoais e reais constar a </w:t>
      </w:r>
      <w:r>
        <w:rPr>
          <w:b/>
          <w:sz w:val="20"/>
          <w:szCs w:val="20"/>
        </w:rPr>
        <w:t>distribuição positiva</w:t>
      </w:r>
      <w:r>
        <w:rPr>
          <w:sz w:val="20"/>
          <w:szCs w:val="20"/>
        </w:rPr>
        <w:t xml:space="preserve">, deverá ser exigida </w:t>
      </w:r>
      <w:r>
        <w:rPr>
          <w:b/>
          <w:sz w:val="20"/>
          <w:szCs w:val="20"/>
        </w:rPr>
        <w:t>certidão complementar</w:t>
      </w:r>
      <w:r>
        <w:rPr>
          <w:sz w:val="20"/>
          <w:szCs w:val="20"/>
        </w:rPr>
        <w:t>, expedida pelo escrivão do feito, sobre seu desfecho ou estado atual (objeto e pé). Tal complementação será desnecessária quando se trate de ação que, pela sua própria natureza, desde logo aferida pela certidão do distribuidor judicial, não tenha qualquer repercussão econômica ou relação com o imóvel objeto do loteamento.</w:t>
      </w:r>
    </w:p>
  </w:footnote>
  <w:footnote w:id="11">
    <w:p>
      <w:pPr>
        <w:pStyle w:val="Notaderodap"/>
        <w:spacing w:lineRule="auto" w:line="240" w:before="0" w:after="0"/>
        <w:rPr/>
      </w:pPr>
      <w:r>
        <w:rPr>
          <w:rStyle w:val="Caracteresdenotaderodap"/>
        </w:rPr>
        <w:footnoteRef/>
      </w:r>
      <w:r>
        <w:rPr>
          <w:rStyle w:val="FootnoteCharacters"/>
          <w:sz w:val="20"/>
          <w:szCs w:val="20"/>
        </w:rPr>
        <w:tab/>
      </w:r>
      <w:r>
        <w:rPr>
          <w:sz w:val="20"/>
          <w:szCs w:val="20"/>
        </w:rPr>
        <w:t xml:space="preserve"> O pré-contrato ou contrato preliminar não depende de forma solene, podendo ser realizado por instrumento particular e não poderá conter cláusulas de arrependimento. </w:t>
      </w:r>
    </w:p>
  </w:footnote>
  <w:footnote w:id="12">
    <w:p>
      <w:pPr>
        <w:pStyle w:val="Notaderodap"/>
        <w:spacing w:lineRule="auto" w:line="240" w:before="0" w:after="0"/>
        <w:rPr/>
      </w:pPr>
      <w:r>
        <w:rPr>
          <w:rStyle w:val="Caracteresdenotaderodap"/>
        </w:rPr>
        <w:footnoteRef/>
      </w:r>
      <w:r>
        <w:rPr>
          <w:rStyle w:val="FootnoteCharacters"/>
          <w:sz w:val="20"/>
          <w:szCs w:val="20"/>
        </w:rPr>
        <w:tab/>
      </w:r>
      <w:r>
        <w:rPr>
          <w:sz w:val="20"/>
          <w:szCs w:val="20"/>
        </w:rPr>
        <w:t xml:space="preserve"> A declaração não dispensará o consentimento do declarante para os atos de alienação ou promessa de alienação de lotes, ou de direitos a eles relativos, que venham a ser praticados pelo seu cônjuge.</w:t>
      </w:r>
    </w:p>
  </w:footnote>
  <w:footnote w:id="13">
    <w:p>
      <w:pPr>
        <w:pStyle w:val="Notaderodap"/>
        <w:spacing w:lineRule="auto" w:line="240" w:before="0" w:after="0"/>
        <w:rPr/>
      </w:pPr>
      <w:r>
        <w:rPr>
          <w:rStyle w:val="Caracteresdenotaderodap"/>
        </w:rPr>
        <w:footnoteRef/>
      </w:r>
      <w:r>
        <w:rPr>
          <w:rStyle w:val="FootnoteCharacters"/>
          <w:sz w:val="20"/>
          <w:szCs w:val="20"/>
        </w:rPr>
        <w:tab/>
      </w:r>
      <w:r>
        <w:rPr>
          <w:sz w:val="20"/>
          <w:szCs w:val="20"/>
        </w:rPr>
        <w:t xml:space="preserve"> A publicação se fará apenas num dos jornais locais em 3 (três) edições consecutivas.</w:t>
      </w:r>
    </w:p>
  </w:footnote>
  <w:footnote w:id="14">
    <w:p>
      <w:pPr>
        <w:pStyle w:val="Notaderodap"/>
        <w:spacing w:lineRule="auto" w:line="240" w:before="0" w:after="0"/>
        <w:rPr/>
      </w:pPr>
      <w:r>
        <w:rPr>
          <w:rStyle w:val="Caracteresdenotaderodap"/>
        </w:rPr>
        <w:footnoteRef/>
      </w:r>
      <w:r>
        <w:rPr>
          <w:rStyle w:val="FootnoteCharacters"/>
          <w:sz w:val="20"/>
          <w:szCs w:val="20"/>
        </w:rPr>
        <w:tab/>
      </w:r>
      <w:r>
        <w:rPr>
          <w:sz w:val="20"/>
          <w:szCs w:val="20"/>
        </w:rPr>
        <w:t xml:space="preserve"> </w:t>
      </w:r>
      <w:bookmarkStart w:id="8" w:name="_Hlk513017429"/>
      <w:r>
        <w:rPr>
          <w:sz w:val="20"/>
          <w:szCs w:val="20"/>
        </w:rPr>
        <w:t>O cronograma deverá constar no mínimo, a execução das vias de circulação do loteamento; demarcação dos lotes; quadras e logradouros; das obras de escoamento das águas pluviais; de praças jardins e áreas de lazer e de arborização de áreas verdes, das calçadas e dos canteiros centrais, se existentes, com a duração máxima de quatro anos contados da licença para o início das obras. Após a pratica dos atos estabelecidos nos termos de verificação de obras, deverá ser apresentado o respectivo termo de verificação devendo o oficial comunicar a omissão à prefeitura e ao juiz corregedor, para as providencias cabíveis.</w:t>
      </w:r>
      <w:bookmarkEnd w:id="8"/>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color w:val="00000A"/>
      <w:kern w:val="0"/>
      <w:sz w:val="22"/>
      <w:szCs w:val="22"/>
      <w:lang w:val="pt-BR" w:eastAsia="en-US" w:bidi="ar-SA"/>
    </w:rPr>
  </w:style>
  <w:style w:type="paragraph" w:styleId="Ttulo1">
    <w:name w:val="Heading 1"/>
    <w:basedOn w:val="Ttulododocumento"/>
    <w:qFormat/>
    <w:pPr>
      <w:outlineLvl w:val="0"/>
    </w:pPr>
    <w:rPr/>
  </w:style>
  <w:style w:type="paragraph" w:styleId="Ttulo2">
    <w:name w:val="Heading 2"/>
    <w:basedOn w:val="Ttulododocumento"/>
    <w:qFormat/>
    <w:pPr>
      <w:outlineLvl w:val="1"/>
    </w:pPr>
    <w:rPr/>
  </w:style>
  <w:style w:type="paragraph" w:styleId="Ttulo3">
    <w:name w:val="Heading 3"/>
    <w:basedOn w:val="Ttulododocumento"/>
    <w:qFormat/>
    <w:pPr>
      <w:outlineLvl w:val="2"/>
    </w:pPr>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1e39f2"/>
    <w:rPr>
      <w:sz w:val="20"/>
      <w:szCs w:val="20"/>
    </w:rPr>
  </w:style>
  <w:style w:type="character" w:styleId="Ncoradanotaderodap" w:customStyle="1">
    <w:name w:val="Âncora da nota de rodapé"/>
    <w:rPr>
      <w:vertAlign w:val="superscript"/>
    </w:rPr>
  </w:style>
  <w:style w:type="character" w:styleId="FootnoteCharacters">
    <w:name w:val="Footnote Characters"/>
    <w:basedOn w:val="DefaultParagraphFont"/>
    <w:uiPriority w:val="99"/>
    <w:semiHidden/>
    <w:unhideWhenUsed/>
    <w:qFormat/>
    <w:rsid w:val="001e39f2"/>
    <w:rPr>
      <w:vertAlign w:val="superscript"/>
    </w:rPr>
  </w:style>
  <w:style w:type="character" w:styleId="LinkdaInternet">
    <w:name w:val="Link da Internet"/>
    <w:basedOn w:val="DefaultParagraphFont"/>
    <w:uiPriority w:val="99"/>
    <w:semiHidden/>
    <w:unhideWhenUsed/>
    <w:rsid w:val="005b19da"/>
    <w:rPr>
      <w:color w:val="0000FF" w:themeColor="hyperlink"/>
      <w:u w:val="single"/>
    </w:rPr>
  </w:style>
  <w:style w:type="character" w:styleId="TextodebaloChar" w:customStyle="1">
    <w:name w:val="Texto de balão Char"/>
    <w:basedOn w:val="DefaultParagraphFont"/>
    <w:link w:val="Textodebalo"/>
    <w:uiPriority w:val="99"/>
    <w:semiHidden/>
    <w:qFormat/>
    <w:rsid w:val="000b2a76"/>
    <w:rPr>
      <w:rFonts w:ascii="Tahoma" w:hAnsi="Tahoma" w:cs="Tahoma"/>
      <w:sz w:val="16"/>
      <w:szCs w:val="16"/>
    </w:rPr>
  </w:style>
  <w:style w:type="character" w:styleId="Ncoradanotadefim" w:customStyle="1">
    <w:name w:val="Âncora da nota de fim"/>
    <w:rPr>
      <w:vertAlign w:val="superscript"/>
    </w:rPr>
  </w:style>
  <w:style w:type="character" w:styleId="Caracteresdenotaderodap" w:customStyle="1">
    <w:name w:val="Caracteres de nota de rodapé"/>
    <w:qFormat/>
    <w:rPr/>
  </w:style>
  <w:style w:type="character" w:styleId="Caracteresdenotadefim" w:customStyle="1">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customStyle="1">
    <w:name w:val="Body Text"/>
    <w:basedOn w:val="Normal"/>
    <w:pPr>
      <w:spacing w:lineRule="auto" w:line="288"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dodocumento" w:customStyle="1">
    <w:name w:val="Title"/>
    <w:basedOn w:val="Normal"/>
    <w:next w:val="Corpodotexto"/>
    <w:qFormat/>
    <w:pPr/>
    <w:rPr/>
  </w:style>
  <w:style w:type="paragraph" w:styleId="Caption">
    <w:name w:val="caption"/>
    <w:basedOn w:val="Normal"/>
    <w:qFormat/>
    <w:pPr>
      <w:suppressLineNumbers/>
      <w:spacing w:before="120" w:after="120"/>
    </w:pPr>
    <w:rPr>
      <w:rFonts w:cs="Mangal"/>
      <w:i/>
      <w:iCs/>
      <w:sz w:val="24"/>
      <w:szCs w:val="24"/>
    </w:rPr>
  </w:style>
  <w:style w:type="paragraph" w:styleId="NoSpacing">
    <w:name w:val="No Spacing"/>
    <w:qFormat/>
    <w:rsid w:val="004e40b2"/>
    <w:pPr>
      <w:widowControl/>
      <w:suppressAutoHyphens w:val="true"/>
      <w:bidi w:val="0"/>
      <w:spacing w:lineRule="auto" w:line="240" w:before="0" w:after="0"/>
      <w:jc w:val="left"/>
    </w:pPr>
    <w:rPr>
      <w:rFonts w:ascii="Calibri" w:hAnsi="Calibri" w:eastAsia="Calibri" w:cs=""/>
      <w:color w:val="00000A"/>
      <w:kern w:val="0"/>
      <w:sz w:val="22"/>
      <w:szCs w:val="22"/>
      <w:lang w:val="pt-BR" w:eastAsia="en-US" w:bidi="ar-SA"/>
    </w:rPr>
  </w:style>
  <w:style w:type="paragraph" w:styleId="Notaderodap" w:customStyle="1">
    <w:name w:val="Footnote Text"/>
    <w:basedOn w:val="Normal"/>
    <w:pPr/>
    <w:rPr/>
  </w:style>
  <w:style w:type="paragraph" w:styleId="BalloonText">
    <w:name w:val="Balloon Text"/>
    <w:basedOn w:val="Normal"/>
    <w:link w:val="TextodebaloChar"/>
    <w:uiPriority w:val="99"/>
    <w:semiHidden/>
    <w:unhideWhenUsed/>
    <w:qFormat/>
    <w:rsid w:val="000b2a76"/>
    <w:pPr>
      <w:spacing w:lineRule="auto" w:line="240" w:before="0" w:after="0"/>
    </w:pPr>
    <w:rPr>
      <w:rFonts w:ascii="Tahoma" w:hAnsi="Tahoma" w:cs="Tahoma"/>
      <w:sz w:val="16"/>
      <w:szCs w:val="16"/>
    </w:rPr>
  </w:style>
  <w:style w:type="paragraph" w:styleId="Citaes" w:customStyle="1">
    <w:name w:val="Citações"/>
    <w:basedOn w:val="Normal"/>
    <w:qFormat/>
    <w:pPr/>
    <w:rPr/>
  </w:style>
  <w:style w:type="paragraph" w:styleId="Subttulo">
    <w:name w:val="Subtitle"/>
    <w:basedOn w:val="Ttulododocumento"/>
    <w:qFormat/>
    <w:pPr/>
    <w:rPr/>
  </w:style>
  <w:style w:type="paragraph" w:styleId="Contedodatabela" w:customStyle="1">
    <w:name w:val="Conteúdo da tabela"/>
    <w:basedOn w:val="Normal"/>
    <w:qFormat/>
    <w:pPr/>
    <w:rPr/>
  </w:style>
  <w:style w:type="paragraph" w:styleId="Ttulodetabela" w:customStyle="1">
    <w:name w:val="Título de tabela"/>
    <w:basedOn w:val="Contedodatabela"/>
    <w:qFormat/>
    <w:pPr/>
    <w:rPr/>
  </w:style>
  <w:style w:type="paragraph" w:styleId="CabealhoeRodap">
    <w:name w:val="Cabeçalho e Rodapé"/>
    <w:basedOn w:val="Normal"/>
    <w:qFormat/>
    <w:pPr/>
    <w:rPr/>
  </w:style>
  <w:style w:type="paragraph" w:styleId="Rodap">
    <w:name w:val="Footer"/>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4e40b2"/>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jucemg.mg.gov.br/ibr/" TargetMode="External"/><Relationship Id="rId4" Type="http://schemas.openxmlformats.org/officeDocument/2006/relationships/hyperlink" Target="http://www.jucemg.mg.gov.br/ibr/" TargetMode="External"/><Relationship Id="rId5" Type="http://schemas.openxmlformats.org/officeDocument/2006/relationships/hyperlink" Target="http://receita.economia.gov.br/" TargetMode="External"/><Relationship Id="rId6" Type="http://schemas.openxmlformats.org/officeDocument/2006/relationships/hyperlink" Target="http://www.receita.fazenda.gov.br/Grupo2/Certidoes.htm" TargetMode="External"/><Relationship Id="rId7" Type="http://schemas.openxmlformats.org/officeDocument/2006/relationships/hyperlink" Target="http://www.fazenda.mg.gov.br/empresas/certidao_debitos/" TargetMode="External"/><Relationship Id="rId8" Type="http://schemas.openxmlformats.org/officeDocument/2006/relationships/hyperlink" Target="http://www8.tjmg.jus.br/certidaoJudicial/faces/emitirCertidao.xhtml" TargetMode="External"/><Relationship Id="rId9" Type="http://schemas.openxmlformats.org/officeDocument/2006/relationships/hyperlink" Target="http://www8.tjmg.jus.br/certidaoJudicial/faces/emitirCertidao.xhtml" TargetMode="External"/><Relationship Id="rId10" Type="http://schemas.openxmlformats.org/officeDocument/2006/relationships/hyperlink" Target="http://www.trf1.jus.br/Servicos/Certidao/" TargetMode="External"/><Relationship Id="rId11" Type="http://schemas.openxmlformats.org/officeDocument/2006/relationships/hyperlink" Target="http://www.trf1.jus.br/Servicos/Certidao/" TargetMode="External"/><Relationship Id="rId12" Type="http://schemas.openxmlformats.org/officeDocument/2006/relationships/hyperlink" Target="http://as3.trt3.jus.br/certidao/feitosTrabalhistas/aba1.emissao.htm" TargetMode="External"/><Relationship Id="rId13" Type="http://schemas.openxmlformats.org/officeDocument/2006/relationships/hyperlink" Target="http://www.tst.jus.br/certidao" TargetMode="External"/><Relationship Id="rId14" Type="http://schemas.openxmlformats.org/officeDocument/2006/relationships/footer" Target="footer1.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86B5-278D-4477-BA0B-F47E80FD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30290</TotalTime>
  <Application>LibreOffice/6.3.6.2$Windows_X86_64 LibreOffice_project/2196df99b074d8a661f4036fca8fa0cbfa33a497</Application>
  <Pages>4</Pages>
  <Words>1945</Words>
  <Characters>10995</Characters>
  <CharactersWithSpaces>12819</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2016-02-19T12:38:00Z</dcterms:created>
  <dc:creator>Lenovo</dc:creator>
  <dc:description/>
  <dc:language>pt-BR</dc:language>
  <cp:lastModifiedBy/>
  <cp:lastPrinted>2018-05-02T13:01:00Z</cp:lastPrinted>
  <dcterms:modified xsi:type="dcterms:W3CDTF">2020-06-30T07:55:15Z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